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2"/>
        <w:gridCol w:w="7882"/>
      </w:tblGrid>
      <w:tr w:rsidR="00706E11" w14:paraId="1B517F71" w14:textId="77777777" w:rsidTr="006D50CD">
        <w:tc>
          <w:tcPr>
            <w:tcW w:w="2332" w:type="dxa"/>
          </w:tcPr>
          <w:p w14:paraId="4D66F6C6" w14:textId="77777777" w:rsidR="00706E11" w:rsidRDefault="00706E11" w:rsidP="00706E11">
            <w:pPr>
              <w:rPr>
                <w:rFonts w:asciiTheme="minorHAnsi" w:hAnsiTheme="minorHAnsi"/>
                <w:b/>
                <w:caps/>
                <w:sz w:val="36"/>
                <w:szCs w:val="36"/>
              </w:rPr>
            </w:pPr>
            <w:r>
              <w:rPr>
                <w:rFonts w:asciiTheme="minorHAnsi" w:hAnsiTheme="minorHAnsi"/>
                <w:b/>
                <w:caps/>
                <w:noProof/>
                <w:sz w:val="36"/>
                <w:szCs w:val="36"/>
              </w:rPr>
              <w:drawing>
                <wp:inline distT="0" distB="0" distL="0" distR="0" wp14:anchorId="502BB69A" wp14:editId="38090B43">
                  <wp:extent cx="827216" cy="678617"/>
                  <wp:effectExtent l="0" t="0" r="11430" b="7620"/>
                  <wp:docPr id="2" name="Picture 2" descr="/Users/gerryleslie/Desktop/MCAH Work/mcah logo-leve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gerryleslie/Desktop/MCAH Work/mcah logo-level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5452" cy="701781"/>
                          </a:xfrm>
                          <a:prstGeom prst="rect">
                            <a:avLst/>
                          </a:prstGeom>
                          <a:noFill/>
                          <a:ln>
                            <a:noFill/>
                          </a:ln>
                        </pic:spPr>
                      </pic:pic>
                    </a:graphicData>
                  </a:graphic>
                </wp:inline>
              </w:drawing>
            </w:r>
          </w:p>
        </w:tc>
        <w:tc>
          <w:tcPr>
            <w:tcW w:w="7882" w:type="dxa"/>
            <w:tcBorders>
              <w:left w:val="nil"/>
            </w:tcBorders>
            <w:vAlign w:val="center"/>
          </w:tcPr>
          <w:p w14:paraId="0215D9CF" w14:textId="0C35A5B4" w:rsidR="00706E11" w:rsidRPr="00706E11" w:rsidRDefault="00CC33A6" w:rsidP="00A6058E">
            <w:pPr>
              <w:jc w:val="right"/>
              <w:rPr>
                <w:rFonts w:asciiTheme="minorHAnsi" w:hAnsiTheme="minorHAnsi"/>
                <w:sz w:val="22"/>
                <w:szCs w:val="28"/>
              </w:rPr>
            </w:pPr>
            <w:r>
              <w:rPr>
                <w:rFonts w:asciiTheme="minorHAnsi" w:hAnsiTheme="minorHAnsi"/>
                <w:b/>
                <w:caps/>
                <w:sz w:val="36"/>
                <w:szCs w:val="36"/>
              </w:rPr>
              <w:t>System Performance Measure</w:t>
            </w:r>
            <w:r w:rsidR="006E1CFC">
              <w:rPr>
                <w:rFonts w:asciiTheme="minorHAnsi" w:hAnsiTheme="minorHAnsi"/>
                <w:b/>
                <w:caps/>
                <w:sz w:val="36"/>
                <w:szCs w:val="36"/>
              </w:rPr>
              <w:t>s</w:t>
            </w:r>
            <w:r w:rsidR="00697412">
              <w:rPr>
                <w:rFonts w:asciiTheme="minorHAnsi" w:hAnsiTheme="minorHAnsi"/>
                <w:b/>
                <w:caps/>
                <w:sz w:val="36"/>
                <w:szCs w:val="36"/>
              </w:rPr>
              <w:t xml:space="preserve"> Q &amp; A</w:t>
            </w:r>
            <w:r w:rsidR="00706E11">
              <w:rPr>
                <w:rFonts w:asciiTheme="minorHAnsi" w:hAnsiTheme="minorHAnsi"/>
                <w:b/>
                <w:caps/>
                <w:sz w:val="36"/>
                <w:szCs w:val="36"/>
              </w:rPr>
              <w:br/>
            </w:r>
            <w:r>
              <w:rPr>
                <w:rFonts w:asciiTheme="minorHAnsi" w:hAnsiTheme="minorHAnsi"/>
                <w:sz w:val="22"/>
                <w:szCs w:val="28"/>
              </w:rPr>
              <w:t>MI-500 B</w:t>
            </w:r>
            <w:r w:rsidR="00697412">
              <w:rPr>
                <w:rFonts w:asciiTheme="minorHAnsi" w:hAnsiTheme="minorHAnsi"/>
                <w:sz w:val="22"/>
                <w:szCs w:val="28"/>
              </w:rPr>
              <w:t>alance of State</w:t>
            </w:r>
          </w:p>
        </w:tc>
      </w:tr>
    </w:tbl>
    <w:p w14:paraId="51ED737A" w14:textId="3731A5BC" w:rsidR="00A6058E" w:rsidRDefault="00A6058E" w:rsidP="00697412">
      <w:pPr>
        <w:pStyle w:val="Heading2"/>
        <w:numPr>
          <w:ilvl w:val="0"/>
          <w:numId w:val="0"/>
        </w:numPr>
      </w:pPr>
    </w:p>
    <w:p w14:paraId="06AFF125" w14:textId="77777777" w:rsidR="00697412" w:rsidRDefault="00697412" w:rsidP="00697412"/>
    <w:p w14:paraId="39D00074" w14:textId="57C8DA01" w:rsidR="00697412" w:rsidRDefault="00697412" w:rsidP="00697412">
      <w:pPr>
        <w:rPr>
          <w:color w:val="000000"/>
        </w:rPr>
      </w:pPr>
      <w:r w:rsidRPr="00697412">
        <w:rPr>
          <w:rFonts w:ascii="Calibri" w:hAnsi="Calibri"/>
          <w:b/>
          <w:color w:val="000000"/>
          <w:sz w:val="22"/>
          <w:szCs w:val="22"/>
        </w:rPr>
        <w:t>Question:</w:t>
      </w:r>
      <w:r w:rsidRPr="00697412">
        <w:rPr>
          <w:rFonts w:ascii="Calibri" w:hAnsi="Calibri"/>
          <w:color w:val="000000"/>
          <w:sz w:val="22"/>
          <w:szCs w:val="22"/>
        </w:rPr>
        <w:t xml:space="preserve">  </w:t>
      </w:r>
      <w:r w:rsidRPr="00697412">
        <w:rPr>
          <w:rFonts w:ascii="Calibri" w:hAnsi="Calibri"/>
          <w:color w:val="000000"/>
          <w:sz w:val="22"/>
          <w:szCs w:val="22"/>
        </w:rPr>
        <w:t>Measure 1:</w:t>
      </w:r>
      <w:r w:rsidRPr="00697412">
        <w:rPr>
          <w:rStyle w:val="apple-converted-space"/>
          <w:rFonts w:ascii="Calibri" w:hAnsi="Calibri"/>
          <w:color w:val="000000"/>
          <w:sz w:val="22"/>
          <w:szCs w:val="22"/>
        </w:rPr>
        <w:t> </w:t>
      </w:r>
      <w:r>
        <w:rPr>
          <w:rFonts w:ascii="Calibri" w:hAnsi="Calibri"/>
          <w:color w:val="000000"/>
          <w:sz w:val="22"/>
          <w:szCs w:val="22"/>
        </w:rPr>
        <w:t>It looks like our universe of people increased but our LOT decreased (even if slightly). Is this a kind of "win" for this report or is it too small in change to be significant?</w:t>
      </w:r>
    </w:p>
    <w:p w14:paraId="0B24C38B" w14:textId="77777777" w:rsidR="00697412" w:rsidRDefault="00697412" w:rsidP="00697412">
      <w:pPr>
        <w:rPr>
          <w:rFonts w:ascii="Calibri" w:hAnsi="Calibri"/>
          <w:color w:val="000000"/>
          <w:sz w:val="22"/>
          <w:szCs w:val="22"/>
        </w:rPr>
      </w:pPr>
    </w:p>
    <w:p w14:paraId="7BAE24F9" w14:textId="77777777" w:rsidR="00697412" w:rsidRDefault="00697412" w:rsidP="00697412">
      <w:pPr>
        <w:rPr>
          <w:color w:val="000000"/>
        </w:rPr>
      </w:pPr>
      <w:r w:rsidRPr="00697412">
        <w:rPr>
          <w:rFonts w:ascii="Calibri" w:hAnsi="Calibri"/>
          <w:b/>
          <w:color w:val="000000"/>
          <w:sz w:val="22"/>
          <w:szCs w:val="22"/>
        </w:rPr>
        <w:t>Answer: </w:t>
      </w:r>
      <w:r>
        <w:rPr>
          <w:rFonts w:ascii="Calibri" w:hAnsi="Calibri"/>
          <w:color w:val="000000"/>
          <w:sz w:val="22"/>
          <w:szCs w:val="22"/>
        </w:rPr>
        <w:t xml:space="preserve"> This is a key measure where context is important, and as many of you have been listening to me talk about this for quite some time, there are a couple things going on. </w:t>
      </w:r>
      <w:r>
        <w:rPr>
          <w:rStyle w:val="apple-converted-space"/>
          <w:rFonts w:ascii="Calibri" w:hAnsi="Calibri"/>
          <w:color w:val="000000"/>
          <w:sz w:val="22"/>
          <w:szCs w:val="22"/>
        </w:rPr>
        <w:t> </w:t>
      </w:r>
    </w:p>
    <w:p w14:paraId="62CD658F" w14:textId="77777777" w:rsidR="00697412" w:rsidRDefault="00697412" w:rsidP="00697412">
      <w:pPr>
        <w:rPr>
          <w:color w:val="000000"/>
        </w:rPr>
      </w:pPr>
      <w:r>
        <w:rPr>
          <w:rFonts w:ascii="Calibri" w:hAnsi="Calibri"/>
          <w:color w:val="000000"/>
          <w:sz w:val="22"/>
          <w:szCs w:val="22"/>
        </w:rPr>
        <w:t> </w:t>
      </w:r>
    </w:p>
    <w:p w14:paraId="7CBDF796" w14:textId="77777777" w:rsidR="00697412" w:rsidRDefault="00697412" w:rsidP="00697412">
      <w:pPr>
        <w:rPr>
          <w:color w:val="000000"/>
        </w:rPr>
      </w:pPr>
      <w:r>
        <w:rPr>
          <w:rFonts w:ascii="Calibri" w:hAnsi="Calibri"/>
          <w:color w:val="000000"/>
          <w:sz w:val="22"/>
          <w:szCs w:val="22"/>
        </w:rPr>
        <w:t>First, the decrease in Length of Time has more been a product of reducing the number of transitional housing beds, which are projects where people typically have longer lengths of stay.  Think of it this way, if you have 10 people in ES with an average length of stay of 30 days plus 10 people in TH with an average length of stay of 120 days one year, then 10 people in ES with an average length of stay of 30 days plus 5 people in TH with an average length of stay of 120 days the next, your average length of stay will drop, even though the averages for each project type didn’t.  This is because of the proportion of ES to TH beds, which is why we’ve seen big changes in these numbers for the last three years. </w:t>
      </w:r>
      <w:r>
        <w:rPr>
          <w:rStyle w:val="apple-converted-space"/>
          <w:rFonts w:ascii="Calibri" w:hAnsi="Calibri"/>
          <w:color w:val="000000"/>
          <w:sz w:val="22"/>
          <w:szCs w:val="22"/>
        </w:rPr>
        <w:t> </w:t>
      </w:r>
    </w:p>
    <w:p w14:paraId="1ED03120" w14:textId="77777777" w:rsidR="00697412" w:rsidRDefault="00697412" w:rsidP="00697412">
      <w:pPr>
        <w:rPr>
          <w:color w:val="000000"/>
        </w:rPr>
      </w:pPr>
      <w:r>
        <w:rPr>
          <w:rFonts w:ascii="Calibri" w:hAnsi="Calibri"/>
          <w:color w:val="000000"/>
          <w:sz w:val="22"/>
          <w:szCs w:val="22"/>
        </w:rPr>
        <w:t> </w:t>
      </w:r>
    </w:p>
    <w:p w14:paraId="01FFA40C" w14:textId="496D4DB5" w:rsidR="00697412" w:rsidRPr="00327679" w:rsidRDefault="00697412" w:rsidP="00697412">
      <w:pPr>
        <w:rPr>
          <w:color w:val="000000"/>
        </w:rPr>
      </w:pPr>
      <w:r>
        <w:rPr>
          <w:rFonts w:ascii="Calibri" w:hAnsi="Calibri"/>
          <w:color w:val="000000"/>
          <w:sz w:val="22"/>
          <w:szCs w:val="22"/>
        </w:rPr>
        <w:t>Second, the universe did increase, but not really significantly.  We served 300 more people in ES in the current year than we did in the previous year.  Since the LOT homeless stayed the same, it largely means we have slightly higher utilization within these projects.  The universe in TH actually decreased by just under a hundred people, which continues to point towards us moving away from it in favor of a more pronounced housing first strategy. </w:t>
      </w:r>
      <w:r>
        <w:rPr>
          <w:rStyle w:val="apple-converted-space"/>
          <w:rFonts w:ascii="Calibri" w:hAnsi="Calibri"/>
          <w:color w:val="000000"/>
          <w:sz w:val="22"/>
          <w:szCs w:val="22"/>
        </w:rPr>
        <w:t> </w:t>
      </w:r>
      <w:r>
        <w:rPr>
          <w:rFonts w:ascii="Calibri" w:hAnsi="Calibri"/>
          <w:color w:val="000000"/>
          <w:sz w:val="22"/>
          <w:szCs w:val="22"/>
        </w:rPr>
        <w:t> </w:t>
      </w:r>
    </w:p>
    <w:p w14:paraId="4F603BCB" w14:textId="77777777" w:rsidR="00327679" w:rsidRDefault="00327679" w:rsidP="00327679">
      <w:pPr>
        <w:pBdr>
          <w:bottom w:val="single" w:sz="4" w:space="1" w:color="auto"/>
        </w:pBdr>
        <w:rPr>
          <w:rFonts w:ascii="Calibri" w:hAnsi="Calibri"/>
          <w:color w:val="000000"/>
          <w:sz w:val="22"/>
          <w:szCs w:val="22"/>
        </w:rPr>
      </w:pPr>
    </w:p>
    <w:p w14:paraId="39E2B602" w14:textId="77777777" w:rsidR="00327679" w:rsidRDefault="00327679" w:rsidP="00697412">
      <w:pPr>
        <w:rPr>
          <w:color w:val="000000"/>
        </w:rPr>
      </w:pPr>
    </w:p>
    <w:p w14:paraId="47450F7D" w14:textId="014AF093" w:rsidR="00697412" w:rsidRDefault="00327679" w:rsidP="00697412">
      <w:pPr>
        <w:rPr>
          <w:color w:val="000000"/>
        </w:rPr>
      </w:pPr>
      <w:r w:rsidRPr="00327679">
        <w:rPr>
          <w:rFonts w:ascii="Calibri" w:hAnsi="Calibri"/>
          <w:b/>
          <w:color w:val="000000"/>
          <w:sz w:val="22"/>
          <w:szCs w:val="22"/>
        </w:rPr>
        <w:t>Question:</w:t>
      </w:r>
      <w:r w:rsidRPr="00327679">
        <w:rPr>
          <w:rFonts w:ascii="Calibri" w:hAnsi="Calibri"/>
          <w:color w:val="000000"/>
          <w:sz w:val="22"/>
          <w:szCs w:val="22"/>
        </w:rPr>
        <w:t xml:space="preserve">  </w:t>
      </w:r>
      <w:r w:rsidR="00697412" w:rsidRPr="00A97356">
        <w:rPr>
          <w:rFonts w:ascii="Calibri" w:hAnsi="Calibri"/>
          <w:color w:val="000000"/>
          <w:sz w:val="22"/>
          <w:szCs w:val="22"/>
        </w:rPr>
        <w:t>Measure 2:</w:t>
      </w:r>
      <w:r w:rsidR="00697412" w:rsidRPr="00A97356">
        <w:rPr>
          <w:rStyle w:val="apple-converted-space"/>
          <w:rFonts w:ascii="Calibri" w:hAnsi="Calibri"/>
          <w:color w:val="000000"/>
          <w:sz w:val="22"/>
          <w:szCs w:val="22"/>
        </w:rPr>
        <w:t> </w:t>
      </w:r>
      <w:r w:rsidR="00697412">
        <w:rPr>
          <w:rFonts w:ascii="Calibri" w:hAnsi="Calibri"/>
          <w:color w:val="000000"/>
          <w:sz w:val="22"/>
          <w:szCs w:val="22"/>
        </w:rPr>
        <w:t>Exits from PH consistently show the lowest number of returns to homelessness (11% after 2 years) and I think this is lower than some other areas of the state. Is this a "win", too?</w:t>
      </w:r>
    </w:p>
    <w:p w14:paraId="32FBE662" w14:textId="77777777" w:rsidR="00327679" w:rsidRDefault="00327679" w:rsidP="00697412">
      <w:pPr>
        <w:rPr>
          <w:rFonts w:ascii="Calibri" w:hAnsi="Calibri"/>
          <w:color w:val="000000"/>
          <w:sz w:val="22"/>
          <w:szCs w:val="22"/>
        </w:rPr>
      </w:pPr>
    </w:p>
    <w:p w14:paraId="3F7011EB" w14:textId="04C2132D" w:rsidR="00697412" w:rsidRDefault="00327679" w:rsidP="00697412">
      <w:pPr>
        <w:rPr>
          <w:color w:val="000000"/>
        </w:rPr>
      </w:pPr>
      <w:r w:rsidRPr="00327679">
        <w:rPr>
          <w:rFonts w:ascii="Calibri" w:hAnsi="Calibri"/>
          <w:b/>
          <w:color w:val="000000"/>
          <w:sz w:val="22"/>
          <w:szCs w:val="22"/>
        </w:rPr>
        <w:t>Answer:</w:t>
      </w:r>
      <w:r>
        <w:rPr>
          <w:rFonts w:ascii="Calibri" w:hAnsi="Calibri"/>
          <w:color w:val="000000"/>
          <w:sz w:val="22"/>
          <w:szCs w:val="22"/>
        </w:rPr>
        <w:t xml:space="preserve">  </w:t>
      </w:r>
      <w:r w:rsidR="00697412">
        <w:rPr>
          <w:rFonts w:ascii="Calibri" w:hAnsi="Calibri"/>
          <w:color w:val="000000"/>
          <w:sz w:val="22"/>
          <w:szCs w:val="22"/>
        </w:rPr>
        <w:t>I would consider that a win, although I do think we need to keep an eye on this number.  As highlighted in some of the following responses, we do have some more work we need to do around PSH data collection, and I feel some of those strategies should be ones we carry over into RRH as well.  Also, we still are missing many of our VASH vouchers on the system right now, which is a scoring issue for our future NOFAs. </w:t>
      </w:r>
      <w:r w:rsidR="00697412">
        <w:rPr>
          <w:rStyle w:val="apple-converted-space"/>
          <w:rFonts w:ascii="Calibri" w:hAnsi="Calibri"/>
          <w:color w:val="000000"/>
          <w:sz w:val="22"/>
          <w:szCs w:val="22"/>
        </w:rPr>
        <w:t> </w:t>
      </w:r>
    </w:p>
    <w:p w14:paraId="496C373E" w14:textId="77777777" w:rsidR="00697412" w:rsidRDefault="00697412" w:rsidP="00A97356">
      <w:pPr>
        <w:pBdr>
          <w:bottom w:val="single" w:sz="4" w:space="1" w:color="auto"/>
        </w:pBdr>
        <w:rPr>
          <w:rFonts w:ascii="Calibri" w:hAnsi="Calibri"/>
          <w:color w:val="000000"/>
          <w:sz w:val="22"/>
          <w:szCs w:val="22"/>
        </w:rPr>
      </w:pPr>
      <w:r>
        <w:rPr>
          <w:rFonts w:ascii="Calibri" w:hAnsi="Calibri"/>
          <w:color w:val="000000"/>
          <w:sz w:val="22"/>
          <w:szCs w:val="22"/>
        </w:rPr>
        <w:t> </w:t>
      </w:r>
    </w:p>
    <w:p w14:paraId="0501494A" w14:textId="77777777" w:rsidR="00A97356" w:rsidRDefault="00A97356" w:rsidP="00697412">
      <w:pPr>
        <w:rPr>
          <w:color w:val="000000"/>
        </w:rPr>
      </w:pPr>
    </w:p>
    <w:p w14:paraId="57901B51" w14:textId="1D6542C6" w:rsidR="00697412" w:rsidRDefault="00A97356" w:rsidP="00697412">
      <w:pPr>
        <w:rPr>
          <w:color w:val="000000"/>
        </w:rPr>
      </w:pPr>
      <w:r w:rsidRPr="00A97356">
        <w:rPr>
          <w:rFonts w:ascii="Calibri" w:hAnsi="Calibri"/>
          <w:b/>
          <w:color w:val="000000"/>
          <w:sz w:val="22"/>
          <w:szCs w:val="22"/>
        </w:rPr>
        <w:t>Question:</w:t>
      </w:r>
      <w:r w:rsidRPr="00A97356">
        <w:rPr>
          <w:rFonts w:ascii="Calibri" w:hAnsi="Calibri"/>
          <w:color w:val="000000"/>
          <w:sz w:val="22"/>
          <w:szCs w:val="22"/>
        </w:rPr>
        <w:t xml:space="preserve"> </w:t>
      </w:r>
      <w:r w:rsidR="00697412" w:rsidRPr="00A97356">
        <w:rPr>
          <w:rFonts w:ascii="Calibri" w:hAnsi="Calibri"/>
          <w:color w:val="000000"/>
          <w:sz w:val="22"/>
          <w:szCs w:val="22"/>
        </w:rPr>
        <w:t>Measure 3:</w:t>
      </w:r>
      <w:r w:rsidR="00697412" w:rsidRPr="00A97356">
        <w:rPr>
          <w:rStyle w:val="apple-converted-space"/>
          <w:rFonts w:ascii="Calibri" w:hAnsi="Calibri"/>
          <w:color w:val="000000"/>
          <w:sz w:val="22"/>
          <w:szCs w:val="22"/>
        </w:rPr>
        <w:t> </w:t>
      </w:r>
      <w:r w:rsidR="00697412">
        <w:rPr>
          <w:rFonts w:ascii="Calibri" w:hAnsi="Calibri"/>
          <w:color w:val="000000"/>
          <w:sz w:val="22"/>
          <w:szCs w:val="22"/>
        </w:rPr>
        <w:t>With higher PIT numbers, this seems to be a potential area of concern and could have some bearing on our FY18 HUD CoC Program application.</w:t>
      </w:r>
    </w:p>
    <w:p w14:paraId="50BF63D2" w14:textId="77777777" w:rsidR="00A97356" w:rsidRDefault="00A97356" w:rsidP="00697412">
      <w:pPr>
        <w:rPr>
          <w:rFonts w:ascii="Calibri" w:hAnsi="Calibri"/>
          <w:color w:val="000000"/>
          <w:sz w:val="22"/>
          <w:szCs w:val="22"/>
        </w:rPr>
      </w:pPr>
    </w:p>
    <w:p w14:paraId="4E74CB71" w14:textId="59654A7A" w:rsidR="00697412" w:rsidRDefault="00A97356" w:rsidP="00697412">
      <w:pPr>
        <w:rPr>
          <w:color w:val="000000"/>
        </w:rPr>
      </w:pPr>
      <w:r w:rsidRPr="00A97356">
        <w:rPr>
          <w:rFonts w:ascii="Calibri" w:hAnsi="Calibri"/>
          <w:b/>
          <w:color w:val="000000"/>
          <w:sz w:val="22"/>
          <w:szCs w:val="22"/>
        </w:rPr>
        <w:t>Answer:</w:t>
      </w:r>
      <w:r>
        <w:rPr>
          <w:rFonts w:ascii="Calibri" w:hAnsi="Calibri"/>
          <w:color w:val="000000"/>
          <w:sz w:val="22"/>
          <w:szCs w:val="22"/>
        </w:rPr>
        <w:t xml:space="preserve"> </w:t>
      </w:r>
      <w:r w:rsidR="00697412">
        <w:rPr>
          <w:rFonts w:ascii="Calibri" w:hAnsi="Calibri"/>
          <w:color w:val="000000"/>
          <w:sz w:val="22"/>
          <w:szCs w:val="22"/>
        </w:rPr>
        <w:t>PIT Counts I don’t worry about too much, provided that you have a good explanation of what is happening within them.  As we all know, PIT counts are single day census counts which can be highly affected by environmental factors and methodologies.  In the case of the unsheltered homeless, I think we can build a case there.  I can tell you that there will be a pretty significant drop in the next reporting period (our unsheltered count was 191.)</w:t>
      </w:r>
    </w:p>
    <w:p w14:paraId="71AD7FCB" w14:textId="77777777" w:rsidR="00697412" w:rsidRDefault="00697412" w:rsidP="00697412">
      <w:pPr>
        <w:rPr>
          <w:color w:val="000000"/>
        </w:rPr>
      </w:pPr>
      <w:r>
        <w:rPr>
          <w:rFonts w:ascii="Calibri" w:hAnsi="Calibri"/>
          <w:color w:val="000000"/>
          <w:sz w:val="22"/>
          <w:szCs w:val="22"/>
        </w:rPr>
        <w:t> </w:t>
      </w:r>
    </w:p>
    <w:p w14:paraId="280C9578" w14:textId="77777777" w:rsidR="00697412" w:rsidRDefault="00697412" w:rsidP="00697412">
      <w:pPr>
        <w:rPr>
          <w:color w:val="000000"/>
        </w:rPr>
      </w:pPr>
      <w:r>
        <w:rPr>
          <w:rFonts w:ascii="Calibri" w:hAnsi="Calibri"/>
          <w:color w:val="000000"/>
          <w:sz w:val="22"/>
          <w:szCs w:val="22"/>
        </w:rPr>
        <w:t>The ES increase is the one area that bears out in both our PIT counts and our annualized numbers.  We had more people using ES resources in the current year than in the previous year, thus utilization is higher.  I can confirm that those numbers have decreased however in 2018, meaning we may be looking at a one-time aberration of higher access to resources during the previous year. </w:t>
      </w:r>
      <w:r>
        <w:rPr>
          <w:rStyle w:val="apple-converted-space"/>
          <w:rFonts w:ascii="Calibri" w:hAnsi="Calibri"/>
          <w:color w:val="000000"/>
          <w:sz w:val="22"/>
          <w:szCs w:val="22"/>
        </w:rPr>
        <w:t> </w:t>
      </w:r>
    </w:p>
    <w:p w14:paraId="05CEE6DA" w14:textId="77777777" w:rsidR="00697412" w:rsidRDefault="00697412" w:rsidP="00A97356">
      <w:pPr>
        <w:pBdr>
          <w:bottom w:val="single" w:sz="4" w:space="1" w:color="auto"/>
        </w:pBdr>
        <w:rPr>
          <w:color w:val="000000"/>
        </w:rPr>
      </w:pPr>
      <w:r>
        <w:rPr>
          <w:rFonts w:ascii="Calibri" w:hAnsi="Calibri"/>
          <w:color w:val="000000"/>
          <w:sz w:val="22"/>
          <w:szCs w:val="22"/>
        </w:rPr>
        <w:t> </w:t>
      </w:r>
    </w:p>
    <w:p w14:paraId="6D7AECE5" w14:textId="1DE70656" w:rsidR="00697412" w:rsidRDefault="00A97356" w:rsidP="00697412">
      <w:pPr>
        <w:rPr>
          <w:color w:val="000000"/>
        </w:rPr>
      </w:pPr>
      <w:r w:rsidRPr="00A97356">
        <w:rPr>
          <w:rFonts w:ascii="Calibri" w:hAnsi="Calibri"/>
          <w:b/>
          <w:color w:val="000000"/>
          <w:sz w:val="22"/>
          <w:szCs w:val="22"/>
        </w:rPr>
        <w:lastRenderedPageBreak/>
        <w:t>Question:</w:t>
      </w:r>
      <w:r>
        <w:rPr>
          <w:rFonts w:ascii="Calibri" w:hAnsi="Calibri"/>
          <w:color w:val="000000"/>
          <w:sz w:val="22"/>
          <w:szCs w:val="22"/>
        </w:rPr>
        <w:t xml:space="preserve"> </w:t>
      </w:r>
      <w:r w:rsidR="00697412" w:rsidRPr="00A97356">
        <w:rPr>
          <w:rFonts w:ascii="Calibri" w:hAnsi="Calibri"/>
          <w:color w:val="000000"/>
          <w:sz w:val="22"/>
          <w:szCs w:val="22"/>
        </w:rPr>
        <w:t>Measure 4:</w:t>
      </w:r>
      <w:r w:rsidR="00697412" w:rsidRPr="00A97356">
        <w:rPr>
          <w:rStyle w:val="apple-converted-space"/>
          <w:rFonts w:ascii="Calibri" w:hAnsi="Calibri"/>
          <w:color w:val="000000"/>
          <w:sz w:val="22"/>
          <w:szCs w:val="22"/>
        </w:rPr>
        <w:t> </w:t>
      </w:r>
      <w:r w:rsidR="00697412">
        <w:rPr>
          <w:rFonts w:ascii="Calibri" w:hAnsi="Calibri"/>
          <w:color w:val="000000"/>
          <w:sz w:val="22"/>
          <w:szCs w:val="22"/>
        </w:rPr>
        <w:t>You shared this at a previous Executive Committee meeting, so this is just to highlight that we need to collectively address how our LPBs are ensuring that those served through homeless assistance programs are also signing up for/accessing mainstream non-cash benefit services (i.e. DHHS). Additionally, the change in earned income for both stayers and leavers is the same (2% gain for both). Would it make more sense to see a lower percentage gain for stayers and a higher percentage for leavers (if our programs are working as planned)? Is there a way to separate PH-RRH in this figure to see the impact of that specific intervention?</w:t>
      </w:r>
    </w:p>
    <w:p w14:paraId="1FDEF3C5" w14:textId="77777777" w:rsidR="00697412" w:rsidRDefault="00697412" w:rsidP="00697412">
      <w:pPr>
        <w:rPr>
          <w:color w:val="000000"/>
        </w:rPr>
      </w:pPr>
      <w:r>
        <w:rPr>
          <w:rFonts w:ascii="Calibri" w:hAnsi="Calibri"/>
          <w:color w:val="000000"/>
          <w:sz w:val="22"/>
          <w:szCs w:val="22"/>
        </w:rPr>
        <w:t> </w:t>
      </w:r>
    </w:p>
    <w:p w14:paraId="473A99AB" w14:textId="37421CD3" w:rsidR="00697412" w:rsidRDefault="00385A91" w:rsidP="00697412">
      <w:pPr>
        <w:rPr>
          <w:color w:val="000000"/>
        </w:rPr>
      </w:pPr>
      <w:r w:rsidRPr="00385A91">
        <w:rPr>
          <w:rFonts w:ascii="Calibri" w:hAnsi="Calibri"/>
          <w:b/>
          <w:color w:val="000000"/>
          <w:sz w:val="22"/>
          <w:szCs w:val="22"/>
        </w:rPr>
        <w:t>Answer:</w:t>
      </w:r>
      <w:r>
        <w:rPr>
          <w:rFonts w:ascii="Calibri" w:hAnsi="Calibri"/>
          <w:color w:val="000000"/>
          <w:sz w:val="22"/>
          <w:szCs w:val="22"/>
        </w:rPr>
        <w:t xml:space="preserve"> </w:t>
      </w:r>
      <w:r w:rsidR="00697412">
        <w:rPr>
          <w:rFonts w:ascii="Calibri" w:hAnsi="Calibri"/>
          <w:color w:val="000000"/>
          <w:sz w:val="22"/>
          <w:szCs w:val="22"/>
        </w:rPr>
        <w:t>From a logic standpoint, that would absolutely make sense.  People who are long term stayers in PSH often have disabilities and fixed incomes which do not change.  However, one thing to note, (of CQI importance), is this measures whether they have increased income, not how much that increased income is.  If we come up with strategic ways to get even minimal increased income, it does count as a win here. </w:t>
      </w:r>
      <w:r w:rsidR="00697412">
        <w:rPr>
          <w:rStyle w:val="apple-converted-space"/>
          <w:rFonts w:ascii="Calibri" w:hAnsi="Calibri"/>
          <w:color w:val="000000"/>
          <w:sz w:val="22"/>
          <w:szCs w:val="22"/>
        </w:rPr>
        <w:t> </w:t>
      </w:r>
    </w:p>
    <w:p w14:paraId="2E260B71" w14:textId="77777777" w:rsidR="00697412" w:rsidRDefault="00697412" w:rsidP="00697412">
      <w:pPr>
        <w:rPr>
          <w:color w:val="000000"/>
        </w:rPr>
      </w:pPr>
      <w:r>
        <w:rPr>
          <w:rFonts w:ascii="Calibri" w:hAnsi="Calibri"/>
          <w:color w:val="000000"/>
          <w:sz w:val="22"/>
          <w:szCs w:val="22"/>
        </w:rPr>
        <w:t> </w:t>
      </w:r>
    </w:p>
    <w:p w14:paraId="0491AB1F" w14:textId="77777777" w:rsidR="00697412" w:rsidRDefault="00697412" w:rsidP="00697412">
      <w:pPr>
        <w:rPr>
          <w:color w:val="000000"/>
        </w:rPr>
      </w:pPr>
      <w:r>
        <w:rPr>
          <w:rFonts w:ascii="Calibri" w:hAnsi="Calibri"/>
          <w:color w:val="000000"/>
          <w:sz w:val="22"/>
          <w:szCs w:val="22"/>
        </w:rPr>
        <w:t>The bigger issue we discovered in this year’s SPM process is that our PSH projects have a real breakdown in their data collection process.  PSH projects should, by far, have the highest data quality and completeness since we have a captive audience, if you will.  We had major issues this year with completing required annual updates, and also collecting discharge destinations and data on exit.  This will also be highlighted in the last measure, but we need to be very strategic in the next year about improving and monitoring PSH data quality and collection. </w:t>
      </w:r>
      <w:r>
        <w:rPr>
          <w:rStyle w:val="apple-converted-space"/>
          <w:rFonts w:ascii="Calibri" w:hAnsi="Calibri"/>
          <w:color w:val="000000"/>
          <w:sz w:val="22"/>
          <w:szCs w:val="22"/>
        </w:rPr>
        <w:t> </w:t>
      </w:r>
    </w:p>
    <w:p w14:paraId="635E7929" w14:textId="77777777" w:rsidR="00697412" w:rsidRDefault="00697412" w:rsidP="00697412">
      <w:pPr>
        <w:rPr>
          <w:color w:val="000000"/>
        </w:rPr>
      </w:pPr>
      <w:r>
        <w:rPr>
          <w:rFonts w:ascii="Calibri" w:hAnsi="Calibri"/>
          <w:color w:val="000000"/>
          <w:sz w:val="22"/>
          <w:szCs w:val="22"/>
        </w:rPr>
        <w:t> </w:t>
      </w:r>
    </w:p>
    <w:p w14:paraId="3A5AFCE0" w14:textId="77777777" w:rsidR="00697412" w:rsidRDefault="00697412" w:rsidP="00697412">
      <w:pPr>
        <w:rPr>
          <w:color w:val="000000"/>
        </w:rPr>
      </w:pPr>
      <w:r>
        <w:rPr>
          <w:rFonts w:ascii="Calibri" w:hAnsi="Calibri"/>
          <w:color w:val="000000"/>
          <w:sz w:val="22"/>
          <w:szCs w:val="22"/>
        </w:rPr>
        <w:t>We absolutely can run this report separately based on PSH and RRH.  It will require maintaining separate provider groups in HMIS, one with all the funded PSH projects, and a second with all the RRH projects.  MCAH can work with the MI BOS COC Coordinator to show how to build these groups when appropriate. </w:t>
      </w:r>
      <w:r>
        <w:rPr>
          <w:rStyle w:val="apple-converted-space"/>
          <w:rFonts w:ascii="Calibri" w:hAnsi="Calibri"/>
          <w:color w:val="000000"/>
          <w:sz w:val="22"/>
          <w:szCs w:val="22"/>
        </w:rPr>
        <w:t> </w:t>
      </w:r>
    </w:p>
    <w:p w14:paraId="4FA3F531" w14:textId="77777777" w:rsidR="00697412" w:rsidRDefault="00697412" w:rsidP="00697412">
      <w:pPr>
        <w:rPr>
          <w:color w:val="000000"/>
        </w:rPr>
      </w:pPr>
      <w:r>
        <w:rPr>
          <w:rFonts w:ascii="Calibri" w:hAnsi="Calibri"/>
          <w:color w:val="000000"/>
          <w:sz w:val="22"/>
          <w:szCs w:val="22"/>
        </w:rPr>
        <w:t> </w:t>
      </w:r>
    </w:p>
    <w:p w14:paraId="60022E24" w14:textId="77777777" w:rsidR="00697412" w:rsidRDefault="00697412" w:rsidP="00697412">
      <w:pPr>
        <w:rPr>
          <w:color w:val="000000"/>
        </w:rPr>
      </w:pPr>
      <w:r>
        <w:rPr>
          <w:rFonts w:ascii="Calibri" w:hAnsi="Calibri"/>
          <w:color w:val="000000"/>
          <w:sz w:val="22"/>
          <w:szCs w:val="22"/>
        </w:rPr>
        <w:t>The short answer is, we need to focus on this measure.  First, by focusing on improving data collection, then second by looking at the subsequent outcomes and determining if further CQI efforts should be implemented. </w:t>
      </w:r>
      <w:r>
        <w:rPr>
          <w:rStyle w:val="apple-converted-space"/>
          <w:rFonts w:ascii="Calibri" w:hAnsi="Calibri"/>
          <w:color w:val="000000"/>
          <w:sz w:val="22"/>
          <w:szCs w:val="22"/>
        </w:rPr>
        <w:t> </w:t>
      </w:r>
    </w:p>
    <w:p w14:paraId="4EB11702" w14:textId="77777777" w:rsidR="00697412" w:rsidRDefault="00697412" w:rsidP="00385A91">
      <w:pPr>
        <w:pBdr>
          <w:bottom w:val="single" w:sz="4" w:space="1" w:color="auto"/>
        </w:pBdr>
        <w:rPr>
          <w:rFonts w:ascii="Calibri" w:hAnsi="Calibri"/>
          <w:color w:val="000000"/>
          <w:sz w:val="22"/>
          <w:szCs w:val="22"/>
        </w:rPr>
      </w:pPr>
      <w:r>
        <w:rPr>
          <w:rFonts w:ascii="Calibri" w:hAnsi="Calibri"/>
          <w:color w:val="000000"/>
          <w:sz w:val="22"/>
          <w:szCs w:val="22"/>
        </w:rPr>
        <w:t> </w:t>
      </w:r>
    </w:p>
    <w:p w14:paraId="7E58A1F1" w14:textId="77777777" w:rsidR="00385A91" w:rsidRDefault="00385A91" w:rsidP="00697412">
      <w:pPr>
        <w:rPr>
          <w:color w:val="000000"/>
        </w:rPr>
      </w:pPr>
    </w:p>
    <w:p w14:paraId="7ACC9232" w14:textId="29498BD8" w:rsidR="00697412" w:rsidRDefault="00385A91" w:rsidP="00697412">
      <w:pPr>
        <w:rPr>
          <w:color w:val="000000"/>
        </w:rPr>
      </w:pPr>
      <w:r w:rsidRPr="00385A91">
        <w:rPr>
          <w:rFonts w:ascii="Calibri" w:hAnsi="Calibri"/>
          <w:b/>
          <w:color w:val="000000"/>
          <w:sz w:val="22"/>
          <w:szCs w:val="22"/>
        </w:rPr>
        <w:t>Question:</w:t>
      </w:r>
      <w:r w:rsidRPr="00385A91">
        <w:rPr>
          <w:rFonts w:ascii="Calibri" w:hAnsi="Calibri"/>
          <w:color w:val="000000"/>
          <w:sz w:val="22"/>
          <w:szCs w:val="22"/>
        </w:rPr>
        <w:t xml:space="preserve"> </w:t>
      </w:r>
      <w:r w:rsidR="00697412" w:rsidRPr="00385A91">
        <w:rPr>
          <w:rFonts w:ascii="Calibri" w:hAnsi="Calibri"/>
          <w:color w:val="000000"/>
          <w:sz w:val="22"/>
          <w:szCs w:val="22"/>
        </w:rPr>
        <w:t>Measure 5:</w:t>
      </w:r>
      <w:r w:rsidR="00697412" w:rsidRPr="00385A91">
        <w:rPr>
          <w:rStyle w:val="apple-converted-space"/>
          <w:rFonts w:ascii="Calibri" w:hAnsi="Calibri"/>
          <w:color w:val="000000"/>
          <w:sz w:val="22"/>
          <w:szCs w:val="22"/>
        </w:rPr>
        <w:t> </w:t>
      </w:r>
      <w:r w:rsidR="00697412">
        <w:rPr>
          <w:rFonts w:ascii="Calibri" w:hAnsi="Calibri"/>
          <w:color w:val="000000"/>
          <w:sz w:val="22"/>
          <w:szCs w:val="22"/>
        </w:rPr>
        <w:t>This measure shows higher numbers across the board. What are the pros/cons to this?</w:t>
      </w:r>
    </w:p>
    <w:p w14:paraId="15118CA4" w14:textId="77777777" w:rsidR="00697412" w:rsidRDefault="00697412" w:rsidP="00697412">
      <w:pPr>
        <w:rPr>
          <w:color w:val="000000"/>
        </w:rPr>
      </w:pPr>
      <w:r>
        <w:rPr>
          <w:rFonts w:ascii="Calibri" w:hAnsi="Calibri"/>
          <w:color w:val="000000"/>
          <w:sz w:val="22"/>
          <w:szCs w:val="22"/>
        </w:rPr>
        <w:t>Good question.</w:t>
      </w:r>
    </w:p>
    <w:p w14:paraId="5D4D2872" w14:textId="77777777" w:rsidR="00697412" w:rsidRDefault="00697412" w:rsidP="00697412">
      <w:pPr>
        <w:rPr>
          <w:color w:val="000000"/>
        </w:rPr>
      </w:pPr>
      <w:r>
        <w:rPr>
          <w:rFonts w:ascii="Calibri" w:hAnsi="Calibri"/>
          <w:color w:val="000000"/>
          <w:sz w:val="22"/>
          <w:szCs w:val="22"/>
        </w:rPr>
        <w:t> </w:t>
      </w:r>
    </w:p>
    <w:p w14:paraId="74159872" w14:textId="0586A986" w:rsidR="00697412" w:rsidRDefault="00385A91" w:rsidP="00697412">
      <w:pPr>
        <w:rPr>
          <w:color w:val="000000"/>
        </w:rPr>
      </w:pPr>
      <w:r w:rsidRPr="00385A91">
        <w:rPr>
          <w:rFonts w:ascii="Calibri" w:hAnsi="Calibri"/>
          <w:b/>
          <w:color w:val="000000"/>
          <w:sz w:val="22"/>
          <w:szCs w:val="22"/>
        </w:rPr>
        <w:t>Answer:</w:t>
      </w:r>
      <w:r>
        <w:rPr>
          <w:rFonts w:ascii="Calibri" w:hAnsi="Calibri"/>
          <w:color w:val="000000"/>
          <w:sz w:val="22"/>
          <w:szCs w:val="22"/>
        </w:rPr>
        <w:t xml:space="preserve"> </w:t>
      </w:r>
      <w:r w:rsidR="00697412">
        <w:rPr>
          <w:rFonts w:ascii="Calibri" w:hAnsi="Calibri"/>
          <w:color w:val="000000"/>
          <w:sz w:val="22"/>
          <w:szCs w:val="22"/>
        </w:rPr>
        <w:t>The con is in the reporting year, we had more first time homeless.  The fact is it increased.  So across the board, we know we saw more homeless persons in the year.  This can be investigated further by drilling down by provider groups on regions to see where the increases took place.  Again, this is a time consuming process, but we can provide TA on the process. </w:t>
      </w:r>
      <w:r w:rsidR="00697412">
        <w:rPr>
          <w:rStyle w:val="apple-converted-space"/>
          <w:rFonts w:ascii="Calibri" w:hAnsi="Calibri"/>
          <w:color w:val="000000"/>
          <w:sz w:val="22"/>
          <w:szCs w:val="22"/>
        </w:rPr>
        <w:t> </w:t>
      </w:r>
    </w:p>
    <w:p w14:paraId="7B8630FE" w14:textId="77777777" w:rsidR="00697412" w:rsidRDefault="00697412" w:rsidP="00697412">
      <w:pPr>
        <w:rPr>
          <w:color w:val="000000"/>
        </w:rPr>
      </w:pPr>
      <w:r>
        <w:rPr>
          <w:rFonts w:ascii="Calibri" w:hAnsi="Calibri"/>
          <w:color w:val="000000"/>
          <w:sz w:val="22"/>
          <w:szCs w:val="22"/>
        </w:rPr>
        <w:t> </w:t>
      </w:r>
    </w:p>
    <w:p w14:paraId="6612698C" w14:textId="77777777" w:rsidR="00697412" w:rsidRDefault="00697412" w:rsidP="00697412">
      <w:pPr>
        <w:rPr>
          <w:color w:val="000000"/>
        </w:rPr>
      </w:pPr>
      <w:r>
        <w:rPr>
          <w:rFonts w:ascii="Calibri" w:hAnsi="Calibri"/>
          <w:color w:val="000000"/>
          <w:sz w:val="22"/>
          <w:szCs w:val="22"/>
        </w:rPr>
        <w:t>One big pro is that the higher numbers are not due to people returning to homelessness.  We would really be hit hard if we saw higher returns to homelessness which would show that there are breaks in the service delivery system. </w:t>
      </w:r>
      <w:r>
        <w:rPr>
          <w:rStyle w:val="apple-converted-space"/>
          <w:rFonts w:ascii="Calibri" w:hAnsi="Calibri"/>
          <w:color w:val="000000"/>
          <w:sz w:val="22"/>
          <w:szCs w:val="22"/>
        </w:rPr>
        <w:t> </w:t>
      </w:r>
    </w:p>
    <w:p w14:paraId="6B6801A3" w14:textId="77777777" w:rsidR="00697412" w:rsidRDefault="00697412" w:rsidP="00385A91">
      <w:pPr>
        <w:pBdr>
          <w:bottom w:val="single" w:sz="4" w:space="1" w:color="auto"/>
        </w:pBdr>
        <w:rPr>
          <w:rFonts w:ascii="Calibri" w:hAnsi="Calibri"/>
          <w:color w:val="000000"/>
          <w:sz w:val="22"/>
          <w:szCs w:val="22"/>
        </w:rPr>
      </w:pPr>
      <w:r>
        <w:rPr>
          <w:rFonts w:ascii="Calibri" w:hAnsi="Calibri"/>
          <w:color w:val="000000"/>
          <w:sz w:val="22"/>
          <w:szCs w:val="22"/>
        </w:rPr>
        <w:t> </w:t>
      </w:r>
    </w:p>
    <w:p w14:paraId="1A223B2B" w14:textId="77777777" w:rsidR="00385A91" w:rsidRDefault="00385A91" w:rsidP="00697412">
      <w:pPr>
        <w:rPr>
          <w:color w:val="000000"/>
        </w:rPr>
      </w:pPr>
    </w:p>
    <w:p w14:paraId="1013CBFE" w14:textId="2E44B105" w:rsidR="00697412" w:rsidRDefault="00385A91" w:rsidP="00697412">
      <w:pPr>
        <w:rPr>
          <w:color w:val="000000"/>
        </w:rPr>
      </w:pPr>
      <w:r w:rsidRPr="00385A91">
        <w:rPr>
          <w:rFonts w:ascii="Calibri" w:hAnsi="Calibri"/>
          <w:b/>
          <w:color w:val="000000"/>
          <w:sz w:val="22"/>
          <w:szCs w:val="22"/>
        </w:rPr>
        <w:t>Question:</w:t>
      </w:r>
      <w:r>
        <w:rPr>
          <w:rFonts w:ascii="Calibri" w:hAnsi="Calibri"/>
          <w:color w:val="000000"/>
          <w:sz w:val="22"/>
          <w:szCs w:val="22"/>
        </w:rPr>
        <w:t xml:space="preserve"> </w:t>
      </w:r>
      <w:r w:rsidR="00697412" w:rsidRPr="00385A91">
        <w:rPr>
          <w:rFonts w:ascii="Calibri" w:hAnsi="Calibri"/>
          <w:color w:val="000000"/>
          <w:sz w:val="22"/>
          <w:szCs w:val="22"/>
        </w:rPr>
        <w:t>Measure 7:</w:t>
      </w:r>
      <w:r w:rsidR="00697412" w:rsidRPr="00385A91">
        <w:rPr>
          <w:rStyle w:val="apple-converted-space"/>
          <w:rFonts w:ascii="Calibri" w:hAnsi="Calibri"/>
          <w:color w:val="000000"/>
          <w:sz w:val="22"/>
          <w:szCs w:val="22"/>
        </w:rPr>
        <w:t> </w:t>
      </w:r>
      <w:r w:rsidR="00697412">
        <w:rPr>
          <w:rFonts w:ascii="Calibri" w:hAnsi="Calibri"/>
          <w:color w:val="000000"/>
          <w:sz w:val="22"/>
          <w:szCs w:val="22"/>
        </w:rPr>
        <w:t>This measure seems like another potential "win" with increases in two of the metrics increasing. However, 7b.1 is a zero-sum in successful exits. Any ideas on this? Also, why isn't PH-RRH counted with PH and instead placed with ES, SH, and TH? Could we separate this again to see the impact?</w:t>
      </w:r>
    </w:p>
    <w:p w14:paraId="628599D3" w14:textId="77777777" w:rsidR="00697412" w:rsidRDefault="00697412" w:rsidP="00697412">
      <w:pPr>
        <w:rPr>
          <w:color w:val="000000"/>
        </w:rPr>
      </w:pPr>
      <w:r>
        <w:rPr>
          <w:rFonts w:ascii="Calibri" w:hAnsi="Calibri"/>
          <w:color w:val="000000"/>
          <w:sz w:val="22"/>
          <w:szCs w:val="22"/>
        </w:rPr>
        <w:t> </w:t>
      </w:r>
    </w:p>
    <w:p w14:paraId="3A6B2997" w14:textId="1C47E2D6" w:rsidR="00697412" w:rsidRDefault="00385A91" w:rsidP="00697412">
      <w:pPr>
        <w:rPr>
          <w:color w:val="000000"/>
        </w:rPr>
      </w:pPr>
      <w:r w:rsidRPr="00385A91">
        <w:rPr>
          <w:rFonts w:ascii="Calibri" w:hAnsi="Calibri"/>
          <w:b/>
          <w:color w:val="000000"/>
          <w:sz w:val="22"/>
          <w:szCs w:val="22"/>
        </w:rPr>
        <w:t>Answer:</w:t>
      </w:r>
      <w:r>
        <w:rPr>
          <w:rFonts w:ascii="Calibri" w:hAnsi="Calibri"/>
          <w:color w:val="000000"/>
          <w:sz w:val="22"/>
          <w:szCs w:val="22"/>
        </w:rPr>
        <w:t xml:space="preserve"> </w:t>
      </w:r>
      <w:r w:rsidR="00697412">
        <w:rPr>
          <w:rFonts w:ascii="Calibri" w:hAnsi="Calibri"/>
          <w:color w:val="000000"/>
          <w:sz w:val="22"/>
          <w:szCs w:val="22"/>
        </w:rPr>
        <w:t>We did have increases in two metrics which are both wins.  The Street Outreach is due to better data collection and improved strategies to address SO. </w:t>
      </w:r>
      <w:r w:rsidR="00697412">
        <w:rPr>
          <w:rStyle w:val="apple-converted-space"/>
          <w:rFonts w:ascii="Calibri" w:hAnsi="Calibri"/>
          <w:color w:val="000000"/>
          <w:sz w:val="22"/>
          <w:szCs w:val="22"/>
        </w:rPr>
        <w:t> </w:t>
      </w:r>
    </w:p>
    <w:p w14:paraId="3C275BF3" w14:textId="77777777" w:rsidR="00697412" w:rsidRDefault="00697412" w:rsidP="00697412">
      <w:pPr>
        <w:rPr>
          <w:color w:val="000000"/>
        </w:rPr>
      </w:pPr>
      <w:r>
        <w:rPr>
          <w:rFonts w:ascii="Calibri" w:hAnsi="Calibri"/>
          <w:color w:val="000000"/>
          <w:sz w:val="22"/>
          <w:szCs w:val="22"/>
        </w:rPr>
        <w:t> </w:t>
      </w:r>
    </w:p>
    <w:p w14:paraId="4CFF47CD" w14:textId="77777777" w:rsidR="00697412" w:rsidRDefault="00697412" w:rsidP="00697412">
      <w:pPr>
        <w:rPr>
          <w:color w:val="000000"/>
        </w:rPr>
      </w:pPr>
      <w:r>
        <w:rPr>
          <w:rFonts w:ascii="Calibri" w:hAnsi="Calibri"/>
          <w:color w:val="000000"/>
          <w:sz w:val="22"/>
          <w:szCs w:val="22"/>
        </w:rPr>
        <w:t xml:space="preserve">Although we did get a win with PSH, I still have concerns with it.  First of all, the error rate, or data not collected 9.5%.  (See the data quality table)  This is very high, (the highest of all project types!)  and all of these are counted as negative destinations.  PSH always should have the highest data quality, so this shows that we have some </w:t>
      </w:r>
      <w:r>
        <w:rPr>
          <w:rFonts w:ascii="Calibri" w:hAnsi="Calibri"/>
          <w:color w:val="000000"/>
          <w:sz w:val="22"/>
          <w:szCs w:val="22"/>
        </w:rPr>
        <w:lastRenderedPageBreak/>
        <w:t>serious issues with data completeness with our PSH projects in the BOS.  This is something we need to implement a CQI strategy to address. </w:t>
      </w:r>
      <w:r>
        <w:rPr>
          <w:rStyle w:val="apple-converted-space"/>
          <w:rFonts w:ascii="Calibri" w:hAnsi="Calibri"/>
          <w:color w:val="000000"/>
          <w:sz w:val="22"/>
          <w:szCs w:val="22"/>
        </w:rPr>
        <w:t> </w:t>
      </w:r>
    </w:p>
    <w:p w14:paraId="78726B18" w14:textId="77777777" w:rsidR="00697412" w:rsidRDefault="00697412" w:rsidP="00697412">
      <w:pPr>
        <w:rPr>
          <w:color w:val="000000"/>
        </w:rPr>
      </w:pPr>
      <w:r>
        <w:rPr>
          <w:rFonts w:ascii="Calibri" w:hAnsi="Calibri"/>
          <w:color w:val="000000"/>
          <w:sz w:val="22"/>
          <w:szCs w:val="22"/>
        </w:rPr>
        <w:t> </w:t>
      </w:r>
    </w:p>
    <w:p w14:paraId="58837FF0" w14:textId="77777777" w:rsidR="00697412" w:rsidRDefault="00697412" w:rsidP="00697412">
      <w:pPr>
        <w:rPr>
          <w:color w:val="000000"/>
        </w:rPr>
      </w:pPr>
      <w:r>
        <w:rPr>
          <w:rFonts w:ascii="Calibri" w:hAnsi="Calibri"/>
          <w:color w:val="000000"/>
          <w:sz w:val="22"/>
          <w:szCs w:val="22"/>
        </w:rPr>
        <w:t>The question about RRH vs PSH is a good one.  The reason it is included with ES, and TH is that it is considered to be a time limited, stabilization resource designed to help someone transition into stable housing instead of a long term, more permanent resource like other forms of permanent housing.  Although strategically different, it has a similar function to TH, which is why HUD includes it in the measure with ES and TH.  Again, individual breakdowns of specific provider types can be accomplished by creating out reporting groups for each of the project types and running the measures reports against them. </w:t>
      </w:r>
      <w:r>
        <w:rPr>
          <w:rStyle w:val="apple-converted-space"/>
          <w:rFonts w:ascii="Calibri" w:hAnsi="Calibri"/>
          <w:color w:val="000000"/>
          <w:sz w:val="22"/>
          <w:szCs w:val="22"/>
        </w:rPr>
        <w:t> </w:t>
      </w:r>
    </w:p>
    <w:p w14:paraId="47CFFCB8" w14:textId="77777777" w:rsidR="00697412" w:rsidRDefault="00697412" w:rsidP="00385A91">
      <w:pPr>
        <w:pBdr>
          <w:bottom w:val="single" w:sz="4" w:space="1" w:color="auto"/>
        </w:pBdr>
        <w:rPr>
          <w:rFonts w:ascii="Calibri" w:hAnsi="Calibri"/>
          <w:color w:val="000000"/>
          <w:sz w:val="22"/>
          <w:szCs w:val="22"/>
        </w:rPr>
      </w:pPr>
      <w:r>
        <w:rPr>
          <w:rFonts w:ascii="Calibri" w:hAnsi="Calibri"/>
          <w:color w:val="000000"/>
          <w:sz w:val="22"/>
          <w:szCs w:val="22"/>
        </w:rPr>
        <w:t> </w:t>
      </w:r>
    </w:p>
    <w:p w14:paraId="0CD5F34D" w14:textId="77777777" w:rsidR="00385A91" w:rsidRDefault="00385A91" w:rsidP="00697412">
      <w:pPr>
        <w:rPr>
          <w:color w:val="000000"/>
        </w:rPr>
      </w:pPr>
    </w:p>
    <w:p w14:paraId="111EF337" w14:textId="06E3965C" w:rsidR="00697412" w:rsidRDefault="00385A91" w:rsidP="00697412">
      <w:pPr>
        <w:rPr>
          <w:color w:val="000000"/>
        </w:rPr>
      </w:pPr>
      <w:r w:rsidRPr="00385A91">
        <w:rPr>
          <w:rFonts w:ascii="Calibri" w:hAnsi="Calibri"/>
          <w:b/>
          <w:color w:val="000000"/>
          <w:sz w:val="22"/>
          <w:szCs w:val="22"/>
        </w:rPr>
        <w:t>Question:</w:t>
      </w:r>
      <w:r>
        <w:rPr>
          <w:rFonts w:ascii="Calibri" w:hAnsi="Calibri"/>
          <w:color w:val="000000"/>
          <w:sz w:val="22"/>
          <w:szCs w:val="22"/>
        </w:rPr>
        <w:t xml:space="preserve"> </w:t>
      </w:r>
      <w:r w:rsidR="00697412" w:rsidRPr="00385A91">
        <w:rPr>
          <w:rFonts w:ascii="Calibri" w:hAnsi="Calibri"/>
          <w:color w:val="000000"/>
          <w:sz w:val="22"/>
          <w:szCs w:val="22"/>
        </w:rPr>
        <w:t>Data quality:</w:t>
      </w:r>
      <w:r w:rsidR="00697412" w:rsidRPr="00385A91">
        <w:rPr>
          <w:rStyle w:val="apple-converted-space"/>
          <w:rFonts w:ascii="Calibri" w:hAnsi="Calibri"/>
          <w:color w:val="000000"/>
          <w:sz w:val="22"/>
          <w:szCs w:val="22"/>
        </w:rPr>
        <w:t> </w:t>
      </w:r>
      <w:r w:rsidR="00697412">
        <w:rPr>
          <w:rFonts w:ascii="Calibri" w:hAnsi="Calibri"/>
          <w:color w:val="000000"/>
          <w:sz w:val="22"/>
          <w:szCs w:val="22"/>
        </w:rPr>
        <w:t>The last year in non-DV beds on the HIC showed extreme increases. You noted before that this was (in part) from VASH vouchers being counted. However, the "All PSH, OPH" increased by nearly 5,000. Does this include other vouchers? And will it remain at this number going forward?</w:t>
      </w:r>
    </w:p>
    <w:p w14:paraId="640C028A" w14:textId="77777777" w:rsidR="00385A91" w:rsidRDefault="00385A91" w:rsidP="00697412">
      <w:pPr>
        <w:rPr>
          <w:rFonts w:ascii="Calibri" w:hAnsi="Calibri"/>
          <w:color w:val="000000"/>
          <w:sz w:val="22"/>
          <w:szCs w:val="22"/>
        </w:rPr>
      </w:pPr>
    </w:p>
    <w:p w14:paraId="6B654CAF" w14:textId="3BCA4E09" w:rsidR="00697412" w:rsidRDefault="00385A91" w:rsidP="00697412">
      <w:pPr>
        <w:rPr>
          <w:color w:val="000000"/>
        </w:rPr>
      </w:pPr>
      <w:r w:rsidRPr="00385A91">
        <w:rPr>
          <w:rFonts w:ascii="Calibri" w:hAnsi="Calibri"/>
          <w:b/>
          <w:color w:val="000000"/>
          <w:sz w:val="22"/>
          <w:szCs w:val="22"/>
        </w:rPr>
        <w:t>Answer:</w:t>
      </w:r>
      <w:r>
        <w:rPr>
          <w:rFonts w:ascii="Calibri" w:hAnsi="Calibri"/>
          <w:color w:val="000000"/>
          <w:sz w:val="22"/>
          <w:szCs w:val="22"/>
        </w:rPr>
        <w:t xml:space="preserve"> </w:t>
      </w:r>
      <w:r w:rsidR="00697412">
        <w:rPr>
          <w:rFonts w:ascii="Calibri" w:hAnsi="Calibri"/>
          <w:color w:val="000000"/>
          <w:sz w:val="22"/>
          <w:szCs w:val="22"/>
        </w:rPr>
        <w:t>This increase was actually due to the push to include all OPH in the 2017 HIC, and our initial read of it suggested this meant including all MSHDA HCV vouchers given to homeless persons.  Since these were not on HMIS, it was a huge hit against us.  However, as you all may be aware now, Kelly submitted an AAQ, based on her interpretation of how MSHDA’s program was structured, and HUD concurred with her that going forward, MSHDA HCV vouchers are not to be considered OPH for purposes of the HIC, therefore they were dropped from the 2018 HIC, and will be removed for purposes of the 2018 NOFA. </w:t>
      </w:r>
      <w:r w:rsidR="00697412">
        <w:rPr>
          <w:rStyle w:val="apple-converted-space"/>
          <w:rFonts w:ascii="Calibri" w:hAnsi="Calibri"/>
          <w:color w:val="000000"/>
          <w:sz w:val="22"/>
          <w:szCs w:val="22"/>
        </w:rPr>
        <w:t> </w:t>
      </w:r>
    </w:p>
    <w:p w14:paraId="283BCF42" w14:textId="77777777" w:rsidR="00697412" w:rsidRDefault="00697412" w:rsidP="00697412">
      <w:pPr>
        <w:rPr>
          <w:color w:val="000000"/>
        </w:rPr>
      </w:pPr>
      <w:r>
        <w:rPr>
          <w:rFonts w:ascii="Calibri" w:hAnsi="Calibri"/>
          <w:color w:val="000000"/>
          <w:sz w:val="22"/>
          <w:szCs w:val="22"/>
        </w:rPr>
        <w:t> </w:t>
      </w:r>
    </w:p>
    <w:p w14:paraId="022E54A3" w14:textId="0A66C6C7" w:rsidR="00697412" w:rsidRDefault="00697412" w:rsidP="00697412">
      <w:pPr>
        <w:rPr>
          <w:color w:val="000000"/>
        </w:rPr>
      </w:pPr>
      <w:r>
        <w:rPr>
          <w:rFonts w:ascii="Calibri" w:hAnsi="Calibri"/>
          <w:color w:val="000000"/>
          <w:sz w:val="22"/>
          <w:szCs w:val="22"/>
        </w:rPr>
        <w:t>The VASH situation still remains, we need to come up with a strategy across the CoC to get them in HMIS, however the HCV issue has been resolved. </w:t>
      </w:r>
      <w:r>
        <w:rPr>
          <w:rStyle w:val="apple-converted-space"/>
          <w:rFonts w:ascii="Calibri" w:hAnsi="Calibri"/>
          <w:color w:val="000000"/>
          <w:sz w:val="22"/>
          <w:szCs w:val="22"/>
        </w:rPr>
        <w:t> </w:t>
      </w:r>
    </w:p>
    <w:p w14:paraId="46719ED9" w14:textId="77777777" w:rsidR="00697412" w:rsidRDefault="00697412" w:rsidP="00697412">
      <w:pPr>
        <w:rPr>
          <w:color w:val="000000"/>
        </w:rPr>
      </w:pPr>
      <w:r>
        <w:rPr>
          <w:rFonts w:ascii="Calibri" w:hAnsi="Calibri"/>
          <w:color w:val="000000"/>
          <w:sz w:val="22"/>
          <w:szCs w:val="22"/>
        </w:rPr>
        <w:t> </w:t>
      </w:r>
    </w:p>
    <w:p w14:paraId="0FE7B611" w14:textId="77777777" w:rsidR="00697412" w:rsidRDefault="00697412" w:rsidP="00697412">
      <w:pPr>
        <w:rPr>
          <w:color w:val="000000"/>
        </w:rPr>
      </w:pPr>
      <w:r>
        <w:rPr>
          <w:rFonts w:ascii="Calibri" w:hAnsi="Calibri"/>
          <w:color w:val="000000"/>
          <w:sz w:val="22"/>
          <w:szCs w:val="22"/>
        </w:rPr>
        <w:t>Regarding the committee to continue this discussion, the group most appropriate is the performance and outcomes workgroup for the BOS.  We could definitely convene an ad hoc group in the short term, but I believe it makes more sense to populate the formal group, and use it to begin tackling these (and other) questions. </w:t>
      </w:r>
    </w:p>
    <w:p w14:paraId="26C2D5BC" w14:textId="77777777" w:rsidR="00697412" w:rsidRPr="00697412" w:rsidRDefault="00697412" w:rsidP="00697412">
      <w:bookmarkStart w:id="0" w:name="_GoBack"/>
      <w:bookmarkEnd w:id="0"/>
    </w:p>
    <w:sectPr w:rsidR="00697412" w:rsidRPr="00697412" w:rsidSect="003741FB">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70364" w14:textId="77777777" w:rsidR="003E18E5" w:rsidRDefault="003E18E5" w:rsidP="003741FB">
      <w:r>
        <w:separator/>
      </w:r>
    </w:p>
  </w:endnote>
  <w:endnote w:type="continuationSeparator" w:id="0">
    <w:p w14:paraId="6D5BC935" w14:textId="77777777" w:rsidR="003E18E5" w:rsidRDefault="003E18E5" w:rsidP="0037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1260"/>
      <w:gridCol w:w="4577"/>
    </w:tblGrid>
    <w:tr w:rsidR="00F62B5F" w14:paraId="362EC980" w14:textId="77777777" w:rsidTr="00EF6247">
      <w:tc>
        <w:tcPr>
          <w:tcW w:w="4233" w:type="dxa"/>
        </w:tcPr>
        <w:p w14:paraId="64788A24" w14:textId="008E1E4F" w:rsidR="00F62B5F" w:rsidRPr="00F62F53" w:rsidRDefault="00F62B5F" w:rsidP="00D2299E">
          <w:pPr>
            <w:pStyle w:val="Footer"/>
            <w:rPr>
              <w:rFonts w:asciiTheme="minorHAnsi" w:hAnsiTheme="minorHAnsi"/>
            </w:rPr>
          </w:pPr>
          <w:r>
            <w:rPr>
              <w:rFonts w:asciiTheme="minorHAnsi" w:hAnsiTheme="minorHAnsi"/>
            </w:rPr>
            <w:t>System Performance Measures</w:t>
          </w:r>
          <w:r w:rsidR="00697412">
            <w:rPr>
              <w:rFonts w:asciiTheme="minorHAnsi" w:hAnsiTheme="minorHAnsi"/>
            </w:rPr>
            <w:t xml:space="preserve"> Q &amp; A</w:t>
          </w:r>
        </w:p>
      </w:tc>
      <w:tc>
        <w:tcPr>
          <w:tcW w:w="1260" w:type="dxa"/>
        </w:tcPr>
        <w:p w14:paraId="7F588687" w14:textId="77777777" w:rsidR="00F62B5F" w:rsidRPr="00F62F53" w:rsidRDefault="00F62B5F" w:rsidP="00AA1972">
          <w:pPr>
            <w:pStyle w:val="Footer"/>
            <w:jc w:val="center"/>
            <w:rPr>
              <w:rFonts w:asciiTheme="minorHAnsi" w:hAnsiTheme="minorHAnsi"/>
            </w:rPr>
          </w:pPr>
          <w:r w:rsidRPr="00FA638B">
            <w:rPr>
              <w:rFonts w:asciiTheme="minorHAnsi" w:hAnsiTheme="minorHAnsi"/>
            </w:rPr>
            <w:fldChar w:fldCharType="begin"/>
          </w:r>
          <w:r w:rsidRPr="00FA638B">
            <w:rPr>
              <w:rFonts w:asciiTheme="minorHAnsi" w:hAnsiTheme="minorHAnsi"/>
            </w:rPr>
            <w:instrText xml:space="preserve"> PAGE   \* MERGEFORMAT </w:instrText>
          </w:r>
          <w:r w:rsidRPr="00FA638B">
            <w:rPr>
              <w:rFonts w:asciiTheme="minorHAnsi" w:hAnsiTheme="minorHAnsi"/>
            </w:rPr>
            <w:fldChar w:fldCharType="separate"/>
          </w:r>
          <w:r w:rsidR="00385A91">
            <w:rPr>
              <w:rFonts w:asciiTheme="minorHAnsi" w:hAnsiTheme="minorHAnsi"/>
              <w:noProof/>
            </w:rPr>
            <w:t>1</w:t>
          </w:r>
          <w:r w:rsidRPr="00FA638B">
            <w:rPr>
              <w:rFonts w:asciiTheme="minorHAnsi" w:hAnsiTheme="minorHAnsi"/>
              <w:noProof/>
            </w:rPr>
            <w:fldChar w:fldCharType="end"/>
          </w:r>
        </w:p>
      </w:tc>
      <w:tc>
        <w:tcPr>
          <w:tcW w:w="4577" w:type="dxa"/>
        </w:tcPr>
        <w:p w14:paraId="022DE820" w14:textId="55480845" w:rsidR="00F62B5F" w:rsidRDefault="00697412" w:rsidP="00EF6247">
          <w:pPr>
            <w:pStyle w:val="Footer"/>
            <w:jc w:val="right"/>
            <w:rPr>
              <w:rFonts w:asciiTheme="minorHAnsi" w:hAnsiTheme="minorHAnsi"/>
            </w:rPr>
          </w:pPr>
          <w:r>
            <w:rPr>
              <w:rFonts w:asciiTheme="minorHAnsi" w:hAnsiTheme="minorHAnsi"/>
            </w:rPr>
            <w:t>6/14</w:t>
          </w:r>
          <w:r w:rsidR="00F62B5F">
            <w:rPr>
              <w:rFonts w:asciiTheme="minorHAnsi" w:hAnsiTheme="minorHAnsi"/>
            </w:rPr>
            <w:t>/2018</w:t>
          </w:r>
        </w:p>
      </w:tc>
    </w:tr>
  </w:tbl>
  <w:p w14:paraId="3BF4FDFB" w14:textId="77777777" w:rsidR="00F62B5F" w:rsidRDefault="00F62B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DDBAB" w14:textId="77777777" w:rsidR="003E18E5" w:rsidRDefault="003E18E5" w:rsidP="003741FB">
      <w:r>
        <w:separator/>
      </w:r>
    </w:p>
  </w:footnote>
  <w:footnote w:type="continuationSeparator" w:id="0">
    <w:p w14:paraId="0242FBA0" w14:textId="77777777" w:rsidR="003E18E5" w:rsidRDefault="003E18E5" w:rsidP="003741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4FBC"/>
    <w:multiLevelType w:val="multilevel"/>
    <w:tmpl w:val="65C4A3F2"/>
    <w:lvl w:ilvl="0">
      <w:start w:val="1"/>
      <w:numFmt w:val="bullet"/>
      <w:lvlText w:val=""/>
      <w:lvlJc w:val="left"/>
      <w:pPr>
        <w:tabs>
          <w:tab w:val="num" w:pos="360"/>
        </w:tabs>
        <w:ind w:left="360" w:hanging="360"/>
      </w:pPr>
      <w:rPr>
        <w:rFonts w:ascii="Wingdings" w:hAnsi="Wingding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04A301F3"/>
    <w:multiLevelType w:val="hybridMultilevel"/>
    <w:tmpl w:val="C7BA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53D5D"/>
    <w:multiLevelType w:val="multilevel"/>
    <w:tmpl w:val="9940DA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804B7"/>
    <w:multiLevelType w:val="hybridMultilevel"/>
    <w:tmpl w:val="C15EA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B72BEA"/>
    <w:multiLevelType w:val="hybridMultilevel"/>
    <w:tmpl w:val="D540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81C5C"/>
    <w:multiLevelType w:val="hybridMultilevel"/>
    <w:tmpl w:val="6EE0EBD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AD66C1F"/>
    <w:multiLevelType w:val="hybridMultilevel"/>
    <w:tmpl w:val="CA408CFA"/>
    <w:lvl w:ilvl="0" w:tplc="04090005">
      <w:start w:val="1"/>
      <w:numFmt w:val="bullet"/>
      <w:lvlText w:val=""/>
      <w:lvlJc w:val="left"/>
      <w:pPr>
        <w:tabs>
          <w:tab w:val="num" w:pos="720"/>
        </w:tabs>
        <w:ind w:left="720" w:hanging="360"/>
      </w:pPr>
      <w:rPr>
        <w:rFonts w:ascii="Wingdings" w:hAnsi="Wingdings" w:hint="default"/>
      </w:rPr>
    </w:lvl>
    <w:lvl w:ilvl="1" w:tplc="EE8E537A">
      <w:numFmt w:val="bullet"/>
      <w:lvlText w:val=""/>
      <w:lvlJc w:val="left"/>
      <w:pPr>
        <w:tabs>
          <w:tab w:val="num" w:pos="1500"/>
        </w:tabs>
        <w:ind w:left="1500" w:hanging="420"/>
      </w:pPr>
      <w:rPr>
        <w:rFonts w:ascii="Symbol" w:eastAsia="Symbol" w:hAnsi="Symbol" w:cs="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C65295"/>
    <w:multiLevelType w:val="multilevel"/>
    <w:tmpl w:val="D306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CCD38ED"/>
    <w:multiLevelType w:val="hybridMultilevel"/>
    <w:tmpl w:val="1C8C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D31388"/>
    <w:multiLevelType w:val="hybridMultilevel"/>
    <w:tmpl w:val="F0C08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663284"/>
    <w:multiLevelType w:val="multilevel"/>
    <w:tmpl w:val="1E560CE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2F914F9"/>
    <w:multiLevelType w:val="hybridMultilevel"/>
    <w:tmpl w:val="81BE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FD2AB8"/>
    <w:multiLevelType w:val="hybridMultilevel"/>
    <w:tmpl w:val="10FE5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8552EF"/>
    <w:multiLevelType w:val="hybridMultilevel"/>
    <w:tmpl w:val="DA82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6F4D0D"/>
    <w:multiLevelType w:val="hybridMultilevel"/>
    <w:tmpl w:val="427C00D4"/>
    <w:lvl w:ilvl="0" w:tplc="04090001">
      <w:start w:val="1"/>
      <w:numFmt w:val="bullet"/>
      <w:lvlText w:val=""/>
      <w:lvlJc w:val="left"/>
      <w:pPr>
        <w:ind w:left="1382" w:hanging="360"/>
      </w:pPr>
      <w:rPr>
        <w:rFonts w:ascii="Symbol" w:hAnsi="Symbol" w:hint="default"/>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abstractNum w:abstractNumId="15">
    <w:nsid w:val="22541FBB"/>
    <w:multiLevelType w:val="multilevel"/>
    <w:tmpl w:val="F51CE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CD59D9"/>
    <w:multiLevelType w:val="hybridMultilevel"/>
    <w:tmpl w:val="5CDC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5B4C6B"/>
    <w:multiLevelType w:val="hybridMultilevel"/>
    <w:tmpl w:val="47EA2A88"/>
    <w:lvl w:ilvl="0" w:tplc="5330B1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156CEF"/>
    <w:multiLevelType w:val="hybridMultilevel"/>
    <w:tmpl w:val="DE46CB0C"/>
    <w:lvl w:ilvl="0" w:tplc="219264AE">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nsid w:val="2C9F15C7"/>
    <w:multiLevelType w:val="hybridMultilevel"/>
    <w:tmpl w:val="61FEC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F268F7"/>
    <w:multiLevelType w:val="hybridMultilevel"/>
    <w:tmpl w:val="5536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8C3754"/>
    <w:multiLevelType w:val="hybridMultilevel"/>
    <w:tmpl w:val="976C7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D542FD"/>
    <w:multiLevelType w:val="hybridMultilevel"/>
    <w:tmpl w:val="C0D0826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nsid w:val="42D517E8"/>
    <w:multiLevelType w:val="multilevel"/>
    <w:tmpl w:val="65C4A3F2"/>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nsid w:val="450F0C27"/>
    <w:multiLevelType w:val="hybridMultilevel"/>
    <w:tmpl w:val="EA80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33239F"/>
    <w:multiLevelType w:val="multilevel"/>
    <w:tmpl w:val="7C3207F4"/>
    <w:lvl w:ilvl="0">
      <w:start w:val="1"/>
      <w:numFmt w:val="bullet"/>
      <w:lvlText w:val="o"/>
      <w:lvlJc w:val="left"/>
      <w:pPr>
        <w:tabs>
          <w:tab w:val="num" w:pos="720"/>
        </w:tabs>
        <w:ind w:left="720" w:hanging="360"/>
      </w:pPr>
      <w:rPr>
        <w:rFonts w:ascii="Courier New" w:hAnsi="Courier New" w:cs="Aria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nsid w:val="536D56D3"/>
    <w:multiLevelType w:val="hybridMultilevel"/>
    <w:tmpl w:val="5FBC2D68"/>
    <w:lvl w:ilvl="0" w:tplc="04090001">
      <w:start w:val="1"/>
      <w:numFmt w:val="bullet"/>
      <w:lvlText w:val=""/>
      <w:lvlJc w:val="left"/>
      <w:pPr>
        <w:ind w:left="685" w:hanging="360"/>
      </w:pPr>
      <w:rPr>
        <w:rFonts w:ascii="Symbol" w:hAnsi="Symbol" w:hint="default"/>
      </w:rPr>
    </w:lvl>
    <w:lvl w:ilvl="1" w:tplc="04090003" w:tentative="1">
      <w:start w:val="1"/>
      <w:numFmt w:val="bullet"/>
      <w:lvlText w:val="o"/>
      <w:lvlJc w:val="left"/>
      <w:pPr>
        <w:ind w:left="1405" w:hanging="360"/>
      </w:pPr>
      <w:rPr>
        <w:rFonts w:ascii="Courier New" w:hAnsi="Courier New" w:cs="Courier New" w:hint="default"/>
      </w:rPr>
    </w:lvl>
    <w:lvl w:ilvl="2" w:tplc="04090005" w:tentative="1">
      <w:start w:val="1"/>
      <w:numFmt w:val="bullet"/>
      <w:lvlText w:val=""/>
      <w:lvlJc w:val="left"/>
      <w:pPr>
        <w:ind w:left="2125" w:hanging="360"/>
      </w:pPr>
      <w:rPr>
        <w:rFonts w:ascii="Wingdings" w:hAnsi="Wingdings" w:hint="default"/>
      </w:rPr>
    </w:lvl>
    <w:lvl w:ilvl="3" w:tplc="04090001" w:tentative="1">
      <w:start w:val="1"/>
      <w:numFmt w:val="bullet"/>
      <w:lvlText w:val=""/>
      <w:lvlJc w:val="left"/>
      <w:pPr>
        <w:ind w:left="2845" w:hanging="360"/>
      </w:pPr>
      <w:rPr>
        <w:rFonts w:ascii="Symbol" w:hAnsi="Symbol" w:hint="default"/>
      </w:rPr>
    </w:lvl>
    <w:lvl w:ilvl="4" w:tplc="04090003" w:tentative="1">
      <w:start w:val="1"/>
      <w:numFmt w:val="bullet"/>
      <w:lvlText w:val="o"/>
      <w:lvlJc w:val="left"/>
      <w:pPr>
        <w:ind w:left="3565" w:hanging="360"/>
      </w:pPr>
      <w:rPr>
        <w:rFonts w:ascii="Courier New" w:hAnsi="Courier New" w:cs="Courier New" w:hint="default"/>
      </w:rPr>
    </w:lvl>
    <w:lvl w:ilvl="5" w:tplc="04090005" w:tentative="1">
      <w:start w:val="1"/>
      <w:numFmt w:val="bullet"/>
      <w:lvlText w:val=""/>
      <w:lvlJc w:val="left"/>
      <w:pPr>
        <w:ind w:left="4285" w:hanging="360"/>
      </w:pPr>
      <w:rPr>
        <w:rFonts w:ascii="Wingdings" w:hAnsi="Wingdings" w:hint="default"/>
      </w:rPr>
    </w:lvl>
    <w:lvl w:ilvl="6" w:tplc="04090001" w:tentative="1">
      <w:start w:val="1"/>
      <w:numFmt w:val="bullet"/>
      <w:lvlText w:val=""/>
      <w:lvlJc w:val="left"/>
      <w:pPr>
        <w:ind w:left="5005" w:hanging="360"/>
      </w:pPr>
      <w:rPr>
        <w:rFonts w:ascii="Symbol" w:hAnsi="Symbol" w:hint="default"/>
      </w:rPr>
    </w:lvl>
    <w:lvl w:ilvl="7" w:tplc="04090003" w:tentative="1">
      <w:start w:val="1"/>
      <w:numFmt w:val="bullet"/>
      <w:lvlText w:val="o"/>
      <w:lvlJc w:val="left"/>
      <w:pPr>
        <w:ind w:left="5725" w:hanging="360"/>
      </w:pPr>
      <w:rPr>
        <w:rFonts w:ascii="Courier New" w:hAnsi="Courier New" w:cs="Courier New" w:hint="default"/>
      </w:rPr>
    </w:lvl>
    <w:lvl w:ilvl="8" w:tplc="04090005" w:tentative="1">
      <w:start w:val="1"/>
      <w:numFmt w:val="bullet"/>
      <w:lvlText w:val=""/>
      <w:lvlJc w:val="left"/>
      <w:pPr>
        <w:ind w:left="6445" w:hanging="360"/>
      </w:pPr>
      <w:rPr>
        <w:rFonts w:ascii="Wingdings" w:hAnsi="Wingdings" w:hint="default"/>
      </w:rPr>
    </w:lvl>
  </w:abstractNum>
  <w:abstractNum w:abstractNumId="27">
    <w:nsid w:val="540748DC"/>
    <w:multiLevelType w:val="multilevel"/>
    <w:tmpl w:val="4A44A2F2"/>
    <w:lvl w:ilvl="0">
      <w:start w:val="1"/>
      <w:numFmt w:val="bullet"/>
      <w:lvlText w:val="o"/>
      <w:lvlJc w:val="left"/>
      <w:pPr>
        <w:tabs>
          <w:tab w:val="num" w:pos="720"/>
        </w:tabs>
        <w:ind w:left="720" w:hanging="360"/>
      </w:pPr>
      <w:rPr>
        <w:rFonts w:ascii="Courier New" w:hAnsi="Courier New"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8">
    <w:nsid w:val="55723674"/>
    <w:multiLevelType w:val="multilevel"/>
    <w:tmpl w:val="790C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76C221D"/>
    <w:multiLevelType w:val="multilevel"/>
    <w:tmpl w:val="30A6CDC2"/>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nsid w:val="58226B2A"/>
    <w:multiLevelType w:val="multilevel"/>
    <w:tmpl w:val="D5B0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A332537"/>
    <w:multiLevelType w:val="hybridMultilevel"/>
    <w:tmpl w:val="CD024A9A"/>
    <w:lvl w:ilvl="0" w:tplc="219264AE">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nsid w:val="5F2E4553"/>
    <w:multiLevelType w:val="hybridMultilevel"/>
    <w:tmpl w:val="763E8F76"/>
    <w:lvl w:ilvl="0" w:tplc="8EF261BC">
      <w:numFmt w:val="bullet"/>
      <w:lvlText w:val="•"/>
      <w:lvlJc w:val="left"/>
      <w:pPr>
        <w:ind w:left="720" w:hanging="360"/>
      </w:pPr>
      <w:rPr>
        <w:rFonts w:ascii="Arial" w:eastAsia="Helvetic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F57EB4"/>
    <w:multiLevelType w:val="hybridMultilevel"/>
    <w:tmpl w:val="9AC039B0"/>
    <w:lvl w:ilvl="0" w:tplc="926CD0C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394" w:hanging="360"/>
      </w:pPr>
      <w:rPr>
        <w:rFonts w:ascii="Courier New" w:hAnsi="Courier New" w:cs="Courier New" w:hint="default"/>
      </w:rPr>
    </w:lvl>
    <w:lvl w:ilvl="2" w:tplc="04090005" w:tentative="1">
      <w:start w:val="1"/>
      <w:numFmt w:val="bullet"/>
      <w:lvlText w:val=""/>
      <w:lvlJc w:val="left"/>
      <w:pPr>
        <w:ind w:left="3114" w:hanging="360"/>
      </w:pPr>
      <w:rPr>
        <w:rFonts w:ascii="Wingdings" w:hAnsi="Wingdings" w:hint="default"/>
      </w:rPr>
    </w:lvl>
    <w:lvl w:ilvl="3" w:tplc="04090001" w:tentative="1">
      <w:start w:val="1"/>
      <w:numFmt w:val="bullet"/>
      <w:lvlText w:val=""/>
      <w:lvlJc w:val="left"/>
      <w:pPr>
        <w:ind w:left="3834" w:hanging="360"/>
      </w:pPr>
      <w:rPr>
        <w:rFonts w:ascii="Symbol" w:hAnsi="Symbol" w:hint="default"/>
      </w:rPr>
    </w:lvl>
    <w:lvl w:ilvl="4" w:tplc="04090003" w:tentative="1">
      <w:start w:val="1"/>
      <w:numFmt w:val="bullet"/>
      <w:lvlText w:val="o"/>
      <w:lvlJc w:val="left"/>
      <w:pPr>
        <w:ind w:left="4554" w:hanging="360"/>
      </w:pPr>
      <w:rPr>
        <w:rFonts w:ascii="Courier New" w:hAnsi="Courier New" w:cs="Courier New" w:hint="default"/>
      </w:rPr>
    </w:lvl>
    <w:lvl w:ilvl="5" w:tplc="04090005" w:tentative="1">
      <w:start w:val="1"/>
      <w:numFmt w:val="bullet"/>
      <w:lvlText w:val=""/>
      <w:lvlJc w:val="left"/>
      <w:pPr>
        <w:ind w:left="5274" w:hanging="360"/>
      </w:pPr>
      <w:rPr>
        <w:rFonts w:ascii="Wingdings" w:hAnsi="Wingdings" w:hint="default"/>
      </w:rPr>
    </w:lvl>
    <w:lvl w:ilvl="6" w:tplc="04090001" w:tentative="1">
      <w:start w:val="1"/>
      <w:numFmt w:val="bullet"/>
      <w:lvlText w:val=""/>
      <w:lvlJc w:val="left"/>
      <w:pPr>
        <w:ind w:left="5994" w:hanging="360"/>
      </w:pPr>
      <w:rPr>
        <w:rFonts w:ascii="Symbol" w:hAnsi="Symbol" w:hint="default"/>
      </w:rPr>
    </w:lvl>
    <w:lvl w:ilvl="7" w:tplc="04090003" w:tentative="1">
      <w:start w:val="1"/>
      <w:numFmt w:val="bullet"/>
      <w:lvlText w:val="o"/>
      <w:lvlJc w:val="left"/>
      <w:pPr>
        <w:ind w:left="6714" w:hanging="360"/>
      </w:pPr>
      <w:rPr>
        <w:rFonts w:ascii="Courier New" w:hAnsi="Courier New" w:cs="Courier New" w:hint="default"/>
      </w:rPr>
    </w:lvl>
    <w:lvl w:ilvl="8" w:tplc="04090005" w:tentative="1">
      <w:start w:val="1"/>
      <w:numFmt w:val="bullet"/>
      <w:lvlText w:val=""/>
      <w:lvlJc w:val="left"/>
      <w:pPr>
        <w:ind w:left="7434" w:hanging="360"/>
      </w:pPr>
      <w:rPr>
        <w:rFonts w:ascii="Wingdings" w:hAnsi="Wingdings" w:hint="default"/>
      </w:rPr>
    </w:lvl>
  </w:abstractNum>
  <w:abstractNum w:abstractNumId="34">
    <w:nsid w:val="66150ABE"/>
    <w:multiLevelType w:val="hybridMultilevel"/>
    <w:tmpl w:val="88909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8C4079D"/>
    <w:multiLevelType w:val="hybridMultilevel"/>
    <w:tmpl w:val="6CA09668"/>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6">
    <w:nsid w:val="737A6298"/>
    <w:multiLevelType w:val="hybridMultilevel"/>
    <w:tmpl w:val="7210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244E25"/>
    <w:multiLevelType w:val="hybridMultilevel"/>
    <w:tmpl w:val="154E9840"/>
    <w:lvl w:ilvl="0" w:tplc="760ADE34">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D11E67"/>
    <w:multiLevelType w:val="hybridMultilevel"/>
    <w:tmpl w:val="060E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5F7607"/>
    <w:multiLevelType w:val="hybridMultilevel"/>
    <w:tmpl w:val="66C6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37"/>
  </w:num>
  <w:num w:numId="4">
    <w:abstractNumId w:val="32"/>
  </w:num>
  <w:num w:numId="5">
    <w:abstractNumId w:val="36"/>
  </w:num>
  <w:num w:numId="6">
    <w:abstractNumId w:val="20"/>
  </w:num>
  <w:num w:numId="7">
    <w:abstractNumId w:val="11"/>
  </w:num>
  <w:num w:numId="8">
    <w:abstractNumId w:val="14"/>
  </w:num>
  <w:num w:numId="9">
    <w:abstractNumId w:val="22"/>
  </w:num>
  <w:num w:numId="10">
    <w:abstractNumId w:val="33"/>
  </w:num>
  <w:num w:numId="11">
    <w:abstractNumId w:val="8"/>
  </w:num>
  <w:num w:numId="12">
    <w:abstractNumId w:val="30"/>
  </w:num>
  <w:num w:numId="13">
    <w:abstractNumId w:val="7"/>
  </w:num>
  <w:num w:numId="14">
    <w:abstractNumId w:val="28"/>
  </w:num>
  <w:num w:numId="15">
    <w:abstractNumId w:val="38"/>
  </w:num>
  <w:num w:numId="16">
    <w:abstractNumId w:val="19"/>
  </w:num>
  <w:num w:numId="17">
    <w:abstractNumId w:val="10"/>
  </w:num>
  <w:num w:numId="18">
    <w:abstractNumId w:val="31"/>
  </w:num>
  <w:num w:numId="19">
    <w:abstractNumId w:val="35"/>
  </w:num>
  <w:num w:numId="20">
    <w:abstractNumId w:val="29"/>
  </w:num>
  <w:num w:numId="21">
    <w:abstractNumId w:val="6"/>
  </w:num>
  <w:num w:numId="22">
    <w:abstractNumId w:val="3"/>
  </w:num>
  <w:num w:numId="23">
    <w:abstractNumId w:val="5"/>
  </w:num>
  <w:num w:numId="24">
    <w:abstractNumId w:val="23"/>
  </w:num>
  <w:num w:numId="25">
    <w:abstractNumId w:val="27"/>
  </w:num>
  <w:num w:numId="26">
    <w:abstractNumId w:val="0"/>
  </w:num>
  <w:num w:numId="27">
    <w:abstractNumId w:val="18"/>
  </w:num>
  <w:num w:numId="28">
    <w:abstractNumId w:val="25"/>
  </w:num>
  <w:num w:numId="29">
    <w:abstractNumId w:val="21"/>
  </w:num>
  <w:num w:numId="30">
    <w:abstractNumId w:val="9"/>
  </w:num>
  <w:num w:numId="31">
    <w:abstractNumId w:val="12"/>
  </w:num>
  <w:num w:numId="32">
    <w:abstractNumId w:val="34"/>
  </w:num>
  <w:num w:numId="33">
    <w:abstractNumId w:val="24"/>
  </w:num>
  <w:num w:numId="34">
    <w:abstractNumId w:val="39"/>
  </w:num>
  <w:num w:numId="35">
    <w:abstractNumId w:val="26"/>
  </w:num>
  <w:num w:numId="36">
    <w:abstractNumId w:val="1"/>
  </w:num>
  <w:num w:numId="37">
    <w:abstractNumId w:val="4"/>
  </w:num>
  <w:num w:numId="38">
    <w:abstractNumId w:val="13"/>
  </w:num>
  <w:num w:numId="39">
    <w:abstractNumId w:val="1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1FB"/>
    <w:rsid w:val="00013C0E"/>
    <w:rsid w:val="0002480C"/>
    <w:rsid w:val="00024E08"/>
    <w:rsid w:val="000271B5"/>
    <w:rsid w:val="0003221F"/>
    <w:rsid w:val="00041F60"/>
    <w:rsid w:val="00042F12"/>
    <w:rsid w:val="00051945"/>
    <w:rsid w:val="0005714D"/>
    <w:rsid w:val="00063941"/>
    <w:rsid w:val="00072F7C"/>
    <w:rsid w:val="000838FD"/>
    <w:rsid w:val="00084980"/>
    <w:rsid w:val="000B1B9A"/>
    <w:rsid w:val="000D4FA6"/>
    <w:rsid w:val="000D7BA4"/>
    <w:rsid w:val="00106974"/>
    <w:rsid w:val="00112F08"/>
    <w:rsid w:val="0011377C"/>
    <w:rsid w:val="001216B7"/>
    <w:rsid w:val="00123961"/>
    <w:rsid w:val="00126775"/>
    <w:rsid w:val="00134090"/>
    <w:rsid w:val="00150D0F"/>
    <w:rsid w:val="00175929"/>
    <w:rsid w:val="00183A40"/>
    <w:rsid w:val="00194DF8"/>
    <w:rsid w:val="001A35A7"/>
    <w:rsid w:val="001E1F4B"/>
    <w:rsid w:val="00200E6C"/>
    <w:rsid w:val="00226E99"/>
    <w:rsid w:val="00237969"/>
    <w:rsid w:val="0024159A"/>
    <w:rsid w:val="002477BF"/>
    <w:rsid w:val="002531C0"/>
    <w:rsid w:val="00253B0B"/>
    <w:rsid w:val="0025496C"/>
    <w:rsid w:val="00255F22"/>
    <w:rsid w:val="00266CAF"/>
    <w:rsid w:val="00267BD4"/>
    <w:rsid w:val="00280298"/>
    <w:rsid w:val="00283AB3"/>
    <w:rsid w:val="00291C1C"/>
    <w:rsid w:val="00297037"/>
    <w:rsid w:val="002B2836"/>
    <w:rsid w:val="002B4600"/>
    <w:rsid w:val="002D4A3A"/>
    <w:rsid w:val="002D5A06"/>
    <w:rsid w:val="002F03EC"/>
    <w:rsid w:val="002F5CB1"/>
    <w:rsid w:val="00304181"/>
    <w:rsid w:val="0030754B"/>
    <w:rsid w:val="00311C88"/>
    <w:rsid w:val="00327679"/>
    <w:rsid w:val="00333925"/>
    <w:rsid w:val="00343058"/>
    <w:rsid w:val="00343BFE"/>
    <w:rsid w:val="003710B4"/>
    <w:rsid w:val="003741FB"/>
    <w:rsid w:val="00384D7E"/>
    <w:rsid w:val="00385A91"/>
    <w:rsid w:val="0039231A"/>
    <w:rsid w:val="0039321B"/>
    <w:rsid w:val="00396DE8"/>
    <w:rsid w:val="003A057D"/>
    <w:rsid w:val="003A14C0"/>
    <w:rsid w:val="003B3073"/>
    <w:rsid w:val="003B5F92"/>
    <w:rsid w:val="003D05F6"/>
    <w:rsid w:val="003D1DF6"/>
    <w:rsid w:val="003D2708"/>
    <w:rsid w:val="003D42F4"/>
    <w:rsid w:val="003D43DA"/>
    <w:rsid w:val="003E18E5"/>
    <w:rsid w:val="003E2D41"/>
    <w:rsid w:val="003F09AC"/>
    <w:rsid w:val="00404CF3"/>
    <w:rsid w:val="00416E97"/>
    <w:rsid w:val="00442617"/>
    <w:rsid w:val="00474293"/>
    <w:rsid w:val="00474A90"/>
    <w:rsid w:val="00475173"/>
    <w:rsid w:val="004A79DA"/>
    <w:rsid w:val="004A7B36"/>
    <w:rsid w:val="004B12C7"/>
    <w:rsid w:val="004B2675"/>
    <w:rsid w:val="004B3486"/>
    <w:rsid w:val="004C56A4"/>
    <w:rsid w:val="004F6806"/>
    <w:rsid w:val="00500543"/>
    <w:rsid w:val="00510050"/>
    <w:rsid w:val="005168C4"/>
    <w:rsid w:val="0052057D"/>
    <w:rsid w:val="005308DD"/>
    <w:rsid w:val="00555DE1"/>
    <w:rsid w:val="005601CA"/>
    <w:rsid w:val="00565A7C"/>
    <w:rsid w:val="005906AA"/>
    <w:rsid w:val="005B0356"/>
    <w:rsid w:val="005B59E2"/>
    <w:rsid w:val="005B7F3F"/>
    <w:rsid w:val="005C345C"/>
    <w:rsid w:val="005C7177"/>
    <w:rsid w:val="005C7559"/>
    <w:rsid w:val="005D69CC"/>
    <w:rsid w:val="005E37D2"/>
    <w:rsid w:val="005F69F0"/>
    <w:rsid w:val="00602206"/>
    <w:rsid w:val="006055FD"/>
    <w:rsid w:val="00606559"/>
    <w:rsid w:val="00622ACF"/>
    <w:rsid w:val="006626DB"/>
    <w:rsid w:val="006772DE"/>
    <w:rsid w:val="00680822"/>
    <w:rsid w:val="006849A0"/>
    <w:rsid w:val="00697412"/>
    <w:rsid w:val="006D39B2"/>
    <w:rsid w:val="006D50CD"/>
    <w:rsid w:val="006D5FF8"/>
    <w:rsid w:val="006E1CFC"/>
    <w:rsid w:val="006E2FA5"/>
    <w:rsid w:val="006F7B40"/>
    <w:rsid w:val="00706E11"/>
    <w:rsid w:val="007236F2"/>
    <w:rsid w:val="007462F5"/>
    <w:rsid w:val="007629B9"/>
    <w:rsid w:val="00762FAA"/>
    <w:rsid w:val="00780C08"/>
    <w:rsid w:val="00783B5A"/>
    <w:rsid w:val="007B3C44"/>
    <w:rsid w:val="007C3C1C"/>
    <w:rsid w:val="007C79A5"/>
    <w:rsid w:val="007D25C5"/>
    <w:rsid w:val="007E113F"/>
    <w:rsid w:val="007F12C7"/>
    <w:rsid w:val="007F6EF2"/>
    <w:rsid w:val="0080063C"/>
    <w:rsid w:val="008012CA"/>
    <w:rsid w:val="00804448"/>
    <w:rsid w:val="00842DF7"/>
    <w:rsid w:val="00847C2C"/>
    <w:rsid w:val="00870A8A"/>
    <w:rsid w:val="008811E6"/>
    <w:rsid w:val="00886713"/>
    <w:rsid w:val="00886D75"/>
    <w:rsid w:val="00887185"/>
    <w:rsid w:val="00895467"/>
    <w:rsid w:val="008C386B"/>
    <w:rsid w:val="008D4689"/>
    <w:rsid w:val="008E5AF0"/>
    <w:rsid w:val="008F5AC5"/>
    <w:rsid w:val="0090416F"/>
    <w:rsid w:val="00910693"/>
    <w:rsid w:val="0091726C"/>
    <w:rsid w:val="00932A05"/>
    <w:rsid w:val="00944053"/>
    <w:rsid w:val="00951362"/>
    <w:rsid w:val="00961482"/>
    <w:rsid w:val="00973BCE"/>
    <w:rsid w:val="009B33E8"/>
    <w:rsid w:val="009C1807"/>
    <w:rsid w:val="009C596B"/>
    <w:rsid w:val="009D5B14"/>
    <w:rsid w:val="009D7D31"/>
    <w:rsid w:val="009F61FC"/>
    <w:rsid w:val="00A02084"/>
    <w:rsid w:val="00A04D2B"/>
    <w:rsid w:val="00A1076C"/>
    <w:rsid w:val="00A11A68"/>
    <w:rsid w:val="00A248DF"/>
    <w:rsid w:val="00A32DDF"/>
    <w:rsid w:val="00A37A1F"/>
    <w:rsid w:val="00A37CB4"/>
    <w:rsid w:val="00A40CB8"/>
    <w:rsid w:val="00A5563C"/>
    <w:rsid w:val="00A55C0A"/>
    <w:rsid w:val="00A6058E"/>
    <w:rsid w:val="00A71161"/>
    <w:rsid w:val="00A75AE3"/>
    <w:rsid w:val="00A769FD"/>
    <w:rsid w:val="00A81692"/>
    <w:rsid w:val="00A84697"/>
    <w:rsid w:val="00A8719C"/>
    <w:rsid w:val="00A92804"/>
    <w:rsid w:val="00A94881"/>
    <w:rsid w:val="00A97356"/>
    <w:rsid w:val="00AA1972"/>
    <w:rsid w:val="00AA5E11"/>
    <w:rsid w:val="00AA6059"/>
    <w:rsid w:val="00AB4E57"/>
    <w:rsid w:val="00AC797D"/>
    <w:rsid w:val="00AE38E8"/>
    <w:rsid w:val="00AE6FD6"/>
    <w:rsid w:val="00B0365B"/>
    <w:rsid w:val="00B037C2"/>
    <w:rsid w:val="00B2149E"/>
    <w:rsid w:val="00B471E5"/>
    <w:rsid w:val="00B502DD"/>
    <w:rsid w:val="00B52765"/>
    <w:rsid w:val="00B85D1B"/>
    <w:rsid w:val="00B87DEA"/>
    <w:rsid w:val="00B93DD1"/>
    <w:rsid w:val="00B94C25"/>
    <w:rsid w:val="00BA1C45"/>
    <w:rsid w:val="00BC29E8"/>
    <w:rsid w:val="00BD1A58"/>
    <w:rsid w:val="00BD597D"/>
    <w:rsid w:val="00C4517C"/>
    <w:rsid w:val="00C451B9"/>
    <w:rsid w:val="00C473D7"/>
    <w:rsid w:val="00C550E9"/>
    <w:rsid w:val="00C7009A"/>
    <w:rsid w:val="00C71090"/>
    <w:rsid w:val="00C7250E"/>
    <w:rsid w:val="00C73EB5"/>
    <w:rsid w:val="00C91EBE"/>
    <w:rsid w:val="00CA11D0"/>
    <w:rsid w:val="00CA61DB"/>
    <w:rsid w:val="00CC1C73"/>
    <w:rsid w:val="00CC33A6"/>
    <w:rsid w:val="00CC7473"/>
    <w:rsid w:val="00CE42A0"/>
    <w:rsid w:val="00CE523E"/>
    <w:rsid w:val="00CF2781"/>
    <w:rsid w:val="00CF3988"/>
    <w:rsid w:val="00D05A90"/>
    <w:rsid w:val="00D10830"/>
    <w:rsid w:val="00D128E7"/>
    <w:rsid w:val="00D21934"/>
    <w:rsid w:val="00D2228A"/>
    <w:rsid w:val="00D2299E"/>
    <w:rsid w:val="00D30E71"/>
    <w:rsid w:val="00D47582"/>
    <w:rsid w:val="00D65CDE"/>
    <w:rsid w:val="00D7122F"/>
    <w:rsid w:val="00D75968"/>
    <w:rsid w:val="00D845EB"/>
    <w:rsid w:val="00DA7A08"/>
    <w:rsid w:val="00DB5FE8"/>
    <w:rsid w:val="00DC1C2D"/>
    <w:rsid w:val="00DC7262"/>
    <w:rsid w:val="00DD18FD"/>
    <w:rsid w:val="00DD36F8"/>
    <w:rsid w:val="00DD4878"/>
    <w:rsid w:val="00DE0959"/>
    <w:rsid w:val="00DE18DD"/>
    <w:rsid w:val="00DF3D85"/>
    <w:rsid w:val="00E03C67"/>
    <w:rsid w:val="00E17A00"/>
    <w:rsid w:val="00E37AE1"/>
    <w:rsid w:val="00E47BC3"/>
    <w:rsid w:val="00E552D2"/>
    <w:rsid w:val="00E57916"/>
    <w:rsid w:val="00E647CA"/>
    <w:rsid w:val="00E65522"/>
    <w:rsid w:val="00E67423"/>
    <w:rsid w:val="00E81BBD"/>
    <w:rsid w:val="00E84102"/>
    <w:rsid w:val="00EA1295"/>
    <w:rsid w:val="00EB2C62"/>
    <w:rsid w:val="00EC335E"/>
    <w:rsid w:val="00ED691A"/>
    <w:rsid w:val="00EF6247"/>
    <w:rsid w:val="00F06DAB"/>
    <w:rsid w:val="00F22CE7"/>
    <w:rsid w:val="00F25B36"/>
    <w:rsid w:val="00F3133D"/>
    <w:rsid w:val="00F32129"/>
    <w:rsid w:val="00F323D8"/>
    <w:rsid w:val="00F341A3"/>
    <w:rsid w:val="00F52009"/>
    <w:rsid w:val="00F57567"/>
    <w:rsid w:val="00F62B5F"/>
    <w:rsid w:val="00F62F69"/>
    <w:rsid w:val="00F80393"/>
    <w:rsid w:val="00F845B4"/>
    <w:rsid w:val="00F97579"/>
    <w:rsid w:val="00FA0010"/>
    <w:rsid w:val="00FA600B"/>
    <w:rsid w:val="00FB7EB0"/>
    <w:rsid w:val="00FC439A"/>
    <w:rsid w:val="00FC6267"/>
    <w:rsid w:val="00FD7530"/>
    <w:rsid w:val="00FE34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9EB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45EB"/>
    <w:rPr>
      <w:rFonts w:ascii="Times New Roman" w:hAnsi="Times New Roman" w:cs="Times New Roman"/>
    </w:rPr>
  </w:style>
  <w:style w:type="paragraph" w:styleId="Heading1">
    <w:name w:val="heading 1"/>
    <w:basedOn w:val="Normal"/>
    <w:next w:val="Normal"/>
    <w:link w:val="Heading1Char"/>
    <w:uiPriority w:val="9"/>
    <w:qFormat/>
    <w:rsid w:val="008044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unhideWhenUsed/>
    <w:qFormat/>
    <w:rsid w:val="00762FAA"/>
    <w:pPr>
      <w:numPr>
        <w:numId w:val="3"/>
      </w:numPr>
      <w:outlineLvl w:val="1"/>
    </w:pPr>
    <w:rPr>
      <w:rFonts w:asciiTheme="minorHAnsi" w:hAnsiTheme="minorHAns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1FB"/>
    <w:pPr>
      <w:ind w:left="720"/>
      <w:contextualSpacing/>
    </w:pPr>
    <w:rPr>
      <w:rFonts w:eastAsia="Times New Roman"/>
    </w:rPr>
  </w:style>
  <w:style w:type="paragraph" w:styleId="Header">
    <w:name w:val="header"/>
    <w:basedOn w:val="Normal"/>
    <w:link w:val="HeaderChar"/>
    <w:uiPriority w:val="99"/>
    <w:unhideWhenUsed/>
    <w:rsid w:val="003741FB"/>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3741FB"/>
    <w:rPr>
      <w:rFonts w:ascii="Times New Roman" w:eastAsia="Times New Roman" w:hAnsi="Times New Roman" w:cs="Times New Roman"/>
    </w:rPr>
  </w:style>
  <w:style w:type="paragraph" w:styleId="Footer">
    <w:name w:val="footer"/>
    <w:basedOn w:val="Normal"/>
    <w:link w:val="FooterChar"/>
    <w:uiPriority w:val="99"/>
    <w:unhideWhenUsed/>
    <w:rsid w:val="003741FB"/>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3741FB"/>
    <w:rPr>
      <w:rFonts w:ascii="Times New Roman" w:eastAsia="Times New Roman" w:hAnsi="Times New Roman" w:cs="Times New Roman"/>
    </w:rPr>
  </w:style>
  <w:style w:type="table" w:styleId="TableGrid">
    <w:name w:val="Table Grid"/>
    <w:basedOn w:val="TableNormal"/>
    <w:uiPriority w:val="39"/>
    <w:rsid w:val="003741F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62FAA"/>
    <w:rPr>
      <w:rFonts w:eastAsia="Times New Roman" w:cs="Times New Roman"/>
      <w:b/>
      <w:sz w:val="28"/>
      <w:szCs w:val="28"/>
    </w:rPr>
  </w:style>
  <w:style w:type="character" w:styleId="Hyperlink">
    <w:name w:val="Hyperlink"/>
    <w:basedOn w:val="DefaultParagraphFont"/>
    <w:rsid w:val="00762FAA"/>
    <w:rPr>
      <w:color w:val="0563C1" w:themeColor="hyperlink"/>
      <w:u w:val="single"/>
    </w:rPr>
  </w:style>
  <w:style w:type="paragraph" w:customStyle="1" w:styleId="p1">
    <w:name w:val="p1"/>
    <w:basedOn w:val="Normal"/>
    <w:rsid w:val="00F3133D"/>
    <w:pPr>
      <w:shd w:val="clear" w:color="auto" w:fill="FFFFFF"/>
    </w:pPr>
    <w:rPr>
      <w:rFonts w:ascii="Arial" w:hAnsi="Arial" w:cs="Arial"/>
      <w:sz w:val="17"/>
      <w:szCs w:val="17"/>
    </w:rPr>
  </w:style>
  <w:style w:type="character" w:customStyle="1" w:styleId="s1">
    <w:name w:val="s1"/>
    <w:basedOn w:val="DefaultParagraphFont"/>
    <w:rsid w:val="00F3133D"/>
  </w:style>
  <w:style w:type="character" w:styleId="FollowedHyperlink">
    <w:name w:val="FollowedHyperlink"/>
    <w:basedOn w:val="DefaultParagraphFont"/>
    <w:uiPriority w:val="99"/>
    <w:semiHidden/>
    <w:unhideWhenUsed/>
    <w:rsid w:val="005C7177"/>
    <w:rPr>
      <w:color w:val="954F72" w:themeColor="followedHyperlink"/>
      <w:u w:val="single"/>
    </w:rPr>
  </w:style>
  <w:style w:type="character" w:customStyle="1" w:styleId="Heading1Char">
    <w:name w:val="Heading 1 Char"/>
    <w:basedOn w:val="DefaultParagraphFont"/>
    <w:link w:val="Heading1"/>
    <w:uiPriority w:val="9"/>
    <w:rsid w:val="00804448"/>
    <w:rPr>
      <w:rFonts w:asciiTheme="majorHAnsi" w:eastAsiaTheme="majorEastAsia" w:hAnsiTheme="majorHAnsi" w:cstheme="majorBidi"/>
      <w:color w:val="2E74B5" w:themeColor="accent1" w:themeShade="BF"/>
      <w:sz w:val="32"/>
      <w:szCs w:val="32"/>
    </w:rPr>
  </w:style>
  <w:style w:type="character" w:customStyle="1" w:styleId="grame">
    <w:name w:val="grame"/>
    <w:basedOn w:val="DefaultParagraphFont"/>
    <w:rsid w:val="00804448"/>
  </w:style>
  <w:style w:type="paragraph" w:styleId="BodyTextIndent">
    <w:name w:val="Body Text Indent"/>
    <w:basedOn w:val="Normal"/>
    <w:link w:val="BodyTextIndentChar"/>
    <w:rsid w:val="00804448"/>
    <w:pPr>
      <w:ind w:left="360"/>
    </w:pPr>
    <w:rPr>
      <w:rFonts w:eastAsia="Times New Roman"/>
      <w:b/>
      <w:sz w:val="28"/>
      <w:szCs w:val="28"/>
      <w:u w:val="single"/>
    </w:rPr>
  </w:style>
  <w:style w:type="character" w:customStyle="1" w:styleId="BodyTextIndentChar">
    <w:name w:val="Body Text Indent Char"/>
    <w:basedOn w:val="DefaultParagraphFont"/>
    <w:link w:val="BodyTextIndent"/>
    <w:rsid w:val="00804448"/>
    <w:rPr>
      <w:rFonts w:ascii="Times New Roman" w:eastAsia="Times New Roman" w:hAnsi="Times New Roman" w:cs="Times New Roman"/>
      <w:b/>
      <w:sz w:val="28"/>
      <w:szCs w:val="28"/>
      <w:u w:val="single"/>
    </w:rPr>
  </w:style>
  <w:style w:type="character" w:customStyle="1" w:styleId="1">
    <w:name w:val="1"/>
    <w:semiHidden/>
    <w:rsid w:val="00804448"/>
    <w:rPr>
      <w:rFonts w:ascii="Arial" w:hAnsi="Arial" w:cs="Arial"/>
      <w:color w:val="auto"/>
      <w:sz w:val="20"/>
      <w:szCs w:val="20"/>
    </w:rPr>
  </w:style>
  <w:style w:type="character" w:customStyle="1" w:styleId="apple-converted-space">
    <w:name w:val="apple-converted-space"/>
    <w:basedOn w:val="DefaultParagraphFont"/>
    <w:rsid w:val="002B4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3112">
      <w:bodyDiv w:val="1"/>
      <w:marLeft w:val="0"/>
      <w:marRight w:val="0"/>
      <w:marTop w:val="0"/>
      <w:marBottom w:val="0"/>
      <w:divBdr>
        <w:top w:val="none" w:sz="0" w:space="0" w:color="auto"/>
        <w:left w:val="none" w:sz="0" w:space="0" w:color="auto"/>
        <w:bottom w:val="none" w:sz="0" w:space="0" w:color="auto"/>
        <w:right w:val="none" w:sz="0" w:space="0" w:color="auto"/>
      </w:divBdr>
    </w:div>
    <w:div w:id="184052866">
      <w:bodyDiv w:val="1"/>
      <w:marLeft w:val="0"/>
      <w:marRight w:val="0"/>
      <w:marTop w:val="0"/>
      <w:marBottom w:val="0"/>
      <w:divBdr>
        <w:top w:val="none" w:sz="0" w:space="0" w:color="auto"/>
        <w:left w:val="none" w:sz="0" w:space="0" w:color="auto"/>
        <w:bottom w:val="none" w:sz="0" w:space="0" w:color="auto"/>
        <w:right w:val="none" w:sz="0" w:space="0" w:color="auto"/>
      </w:divBdr>
    </w:div>
    <w:div w:id="210730057">
      <w:bodyDiv w:val="1"/>
      <w:marLeft w:val="0"/>
      <w:marRight w:val="0"/>
      <w:marTop w:val="0"/>
      <w:marBottom w:val="0"/>
      <w:divBdr>
        <w:top w:val="none" w:sz="0" w:space="0" w:color="auto"/>
        <w:left w:val="none" w:sz="0" w:space="0" w:color="auto"/>
        <w:bottom w:val="none" w:sz="0" w:space="0" w:color="auto"/>
        <w:right w:val="none" w:sz="0" w:space="0" w:color="auto"/>
      </w:divBdr>
    </w:div>
    <w:div w:id="232089999">
      <w:bodyDiv w:val="1"/>
      <w:marLeft w:val="0"/>
      <w:marRight w:val="0"/>
      <w:marTop w:val="0"/>
      <w:marBottom w:val="0"/>
      <w:divBdr>
        <w:top w:val="none" w:sz="0" w:space="0" w:color="auto"/>
        <w:left w:val="none" w:sz="0" w:space="0" w:color="auto"/>
        <w:bottom w:val="none" w:sz="0" w:space="0" w:color="auto"/>
        <w:right w:val="none" w:sz="0" w:space="0" w:color="auto"/>
      </w:divBdr>
    </w:div>
    <w:div w:id="445587680">
      <w:bodyDiv w:val="1"/>
      <w:marLeft w:val="0"/>
      <w:marRight w:val="0"/>
      <w:marTop w:val="0"/>
      <w:marBottom w:val="0"/>
      <w:divBdr>
        <w:top w:val="none" w:sz="0" w:space="0" w:color="auto"/>
        <w:left w:val="none" w:sz="0" w:space="0" w:color="auto"/>
        <w:bottom w:val="none" w:sz="0" w:space="0" w:color="auto"/>
        <w:right w:val="none" w:sz="0" w:space="0" w:color="auto"/>
      </w:divBdr>
    </w:div>
    <w:div w:id="465437756">
      <w:bodyDiv w:val="1"/>
      <w:marLeft w:val="0"/>
      <w:marRight w:val="0"/>
      <w:marTop w:val="0"/>
      <w:marBottom w:val="0"/>
      <w:divBdr>
        <w:top w:val="none" w:sz="0" w:space="0" w:color="auto"/>
        <w:left w:val="none" w:sz="0" w:space="0" w:color="auto"/>
        <w:bottom w:val="none" w:sz="0" w:space="0" w:color="auto"/>
        <w:right w:val="none" w:sz="0" w:space="0" w:color="auto"/>
      </w:divBdr>
    </w:div>
    <w:div w:id="481700852">
      <w:bodyDiv w:val="1"/>
      <w:marLeft w:val="0"/>
      <w:marRight w:val="0"/>
      <w:marTop w:val="0"/>
      <w:marBottom w:val="0"/>
      <w:divBdr>
        <w:top w:val="none" w:sz="0" w:space="0" w:color="auto"/>
        <w:left w:val="none" w:sz="0" w:space="0" w:color="auto"/>
        <w:bottom w:val="none" w:sz="0" w:space="0" w:color="auto"/>
        <w:right w:val="none" w:sz="0" w:space="0" w:color="auto"/>
      </w:divBdr>
    </w:div>
    <w:div w:id="596525975">
      <w:bodyDiv w:val="1"/>
      <w:marLeft w:val="0"/>
      <w:marRight w:val="0"/>
      <w:marTop w:val="0"/>
      <w:marBottom w:val="0"/>
      <w:divBdr>
        <w:top w:val="none" w:sz="0" w:space="0" w:color="auto"/>
        <w:left w:val="none" w:sz="0" w:space="0" w:color="auto"/>
        <w:bottom w:val="none" w:sz="0" w:space="0" w:color="auto"/>
        <w:right w:val="none" w:sz="0" w:space="0" w:color="auto"/>
      </w:divBdr>
    </w:div>
    <w:div w:id="665983034">
      <w:bodyDiv w:val="1"/>
      <w:marLeft w:val="0"/>
      <w:marRight w:val="0"/>
      <w:marTop w:val="0"/>
      <w:marBottom w:val="0"/>
      <w:divBdr>
        <w:top w:val="none" w:sz="0" w:space="0" w:color="auto"/>
        <w:left w:val="none" w:sz="0" w:space="0" w:color="auto"/>
        <w:bottom w:val="none" w:sz="0" w:space="0" w:color="auto"/>
        <w:right w:val="none" w:sz="0" w:space="0" w:color="auto"/>
      </w:divBdr>
    </w:div>
    <w:div w:id="705912632">
      <w:bodyDiv w:val="1"/>
      <w:marLeft w:val="0"/>
      <w:marRight w:val="0"/>
      <w:marTop w:val="0"/>
      <w:marBottom w:val="0"/>
      <w:divBdr>
        <w:top w:val="none" w:sz="0" w:space="0" w:color="auto"/>
        <w:left w:val="none" w:sz="0" w:space="0" w:color="auto"/>
        <w:bottom w:val="none" w:sz="0" w:space="0" w:color="auto"/>
        <w:right w:val="none" w:sz="0" w:space="0" w:color="auto"/>
      </w:divBdr>
    </w:div>
    <w:div w:id="828985916">
      <w:bodyDiv w:val="1"/>
      <w:marLeft w:val="0"/>
      <w:marRight w:val="0"/>
      <w:marTop w:val="0"/>
      <w:marBottom w:val="0"/>
      <w:divBdr>
        <w:top w:val="none" w:sz="0" w:space="0" w:color="auto"/>
        <w:left w:val="none" w:sz="0" w:space="0" w:color="auto"/>
        <w:bottom w:val="none" w:sz="0" w:space="0" w:color="auto"/>
        <w:right w:val="none" w:sz="0" w:space="0" w:color="auto"/>
      </w:divBdr>
      <w:divsChild>
        <w:div w:id="1189292621">
          <w:marLeft w:val="0"/>
          <w:marRight w:val="0"/>
          <w:marTop w:val="0"/>
          <w:marBottom w:val="0"/>
          <w:divBdr>
            <w:top w:val="none" w:sz="0" w:space="0" w:color="auto"/>
            <w:left w:val="none" w:sz="0" w:space="0" w:color="auto"/>
            <w:bottom w:val="none" w:sz="0" w:space="0" w:color="auto"/>
            <w:right w:val="none" w:sz="0" w:space="0" w:color="auto"/>
          </w:divBdr>
        </w:div>
        <w:div w:id="1835141314">
          <w:marLeft w:val="0"/>
          <w:marRight w:val="0"/>
          <w:marTop w:val="0"/>
          <w:marBottom w:val="0"/>
          <w:divBdr>
            <w:top w:val="none" w:sz="0" w:space="0" w:color="auto"/>
            <w:left w:val="none" w:sz="0" w:space="0" w:color="auto"/>
            <w:bottom w:val="none" w:sz="0" w:space="0" w:color="auto"/>
            <w:right w:val="none" w:sz="0" w:space="0" w:color="auto"/>
          </w:divBdr>
        </w:div>
        <w:div w:id="1960406586">
          <w:marLeft w:val="0"/>
          <w:marRight w:val="0"/>
          <w:marTop w:val="0"/>
          <w:marBottom w:val="0"/>
          <w:divBdr>
            <w:top w:val="none" w:sz="0" w:space="0" w:color="auto"/>
            <w:left w:val="none" w:sz="0" w:space="0" w:color="auto"/>
            <w:bottom w:val="none" w:sz="0" w:space="0" w:color="auto"/>
            <w:right w:val="none" w:sz="0" w:space="0" w:color="auto"/>
          </w:divBdr>
        </w:div>
        <w:div w:id="1195922759">
          <w:marLeft w:val="0"/>
          <w:marRight w:val="0"/>
          <w:marTop w:val="0"/>
          <w:marBottom w:val="0"/>
          <w:divBdr>
            <w:top w:val="none" w:sz="0" w:space="0" w:color="auto"/>
            <w:left w:val="none" w:sz="0" w:space="0" w:color="auto"/>
            <w:bottom w:val="none" w:sz="0" w:space="0" w:color="auto"/>
            <w:right w:val="none" w:sz="0" w:space="0" w:color="auto"/>
          </w:divBdr>
        </w:div>
        <w:div w:id="795180914">
          <w:marLeft w:val="0"/>
          <w:marRight w:val="0"/>
          <w:marTop w:val="0"/>
          <w:marBottom w:val="0"/>
          <w:divBdr>
            <w:top w:val="none" w:sz="0" w:space="0" w:color="auto"/>
            <w:left w:val="none" w:sz="0" w:space="0" w:color="auto"/>
            <w:bottom w:val="none" w:sz="0" w:space="0" w:color="auto"/>
            <w:right w:val="none" w:sz="0" w:space="0" w:color="auto"/>
          </w:divBdr>
        </w:div>
        <w:div w:id="2011104058">
          <w:marLeft w:val="0"/>
          <w:marRight w:val="0"/>
          <w:marTop w:val="0"/>
          <w:marBottom w:val="0"/>
          <w:divBdr>
            <w:top w:val="none" w:sz="0" w:space="0" w:color="auto"/>
            <w:left w:val="none" w:sz="0" w:space="0" w:color="auto"/>
            <w:bottom w:val="none" w:sz="0" w:space="0" w:color="auto"/>
            <w:right w:val="none" w:sz="0" w:space="0" w:color="auto"/>
          </w:divBdr>
        </w:div>
        <w:div w:id="1492217950">
          <w:marLeft w:val="0"/>
          <w:marRight w:val="0"/>
          <w:marTop w:val="0"/>
          <w:marBottom w:val="0"/>
          <w:divBdr>
            <w:top w:val="none" w:sz="0" w:space="0" w:color="auto"/>
            <w:left w:val="none" w:sz="0" w:space="0" w:color="auto"/>
            <w:bottom w:val="none" w:sz="0" w:space="0" w:color="auto"/>
            <w:right w:val="none" w:sz="0" w:space="0" w:color="auto"/>
          </w:divBdr>
        </w:div>
        <w:div w:id="2073304556">
          <w:marLeft w:val="0"/>
          <w:marRight w:val="0"/>
          <w:marTop w:val="0"/>
          <w:marBottom w:val="0"/>
          <w:divBdr>
            <w:top w:val="none" w:sz="0" w:space="0" w:color="auto"/>
            <w:left w:val="none" w:sz="0" w:space="0" w:color="auto"/>
            <w:bottom w:val="none" w:sz="0" w:space="0" w:color="auto"/>
            <w:right w:val="none" w:sz="0" w:space="0" w:color="auto"/>
          </w:divBdr>
        </w:div>
        <w:div w:id="1937402503">
          <w:marLeft w:val="0"/>
          <w:marRight w:val="0"/>
          <w:marTop w:val="0"/>
          <w:marBottom w:val="0"/>
          <w:divBdr>
            <w:top w:val="none" w:sz="0" w:space="0" w:color="auto"/>
            <w:left w:val="none" w:sz="0" w:space="0" w:color="auto"/>
            <w:bottom w:val="none" w:sz="0" w:space="0" w:color="auto"/>
            <w:right w:val="none" w:sz="0" w:space="0" w:color="auto"/>
          </w:divBdr>
        </w:div>
        <w:div w:id="1508328462">
          <w:marLeft w:val="0"/>
          <w:marRight w:val="0"/>
          <w:marTop w:val="0"/>
          <w:marBottom w:val="0"/>
          <w:divBdr>
            <w:top w:val="none" w:sz="0" w:space="0" w:color="auto"/>
            <w:left w:val="none" w:sz="0" w:space="0" w:color="auto"/>
            <w:bottom w:val="none" w:sz="0" w:space="0" w:color="auto"/>
            <w:right w:val="none" w:sz="0" w:space="0" w:color="auto"/>
          </w:divBdr>
        </w:div>
        <w:div w:id="1453403911">
          <w:marLeft w:val="0"/>
          <w:marRight w:val="0"/>
          <w:marTop w:val="0"/>
          <w:marBottom w:val="0"/>
          <w:divBdr>
            <w:top w:val="none" w:sz="0" w:space="0" w:color="auto"/>
            <w:left w:val="none" w:sz="0" w:space="0" w:color="auto"/>
            <w:bottom w:val="none" w:sz="0" w:space="0" w:color="auto"/>
            <w:right w:val="none" w:sz="0" w:space="0" w:color="auto"/>
          </w:divBdr>
        </w:div>
        <w:div w:id="995911177">
          <w:marLeft w:val="0"/>
          <w:marRight w:val="0"/>
          <w:marTop w:val="0"/>
          <w:marBottom w:val="0"/>
          <w:divBdr>
            <w:top w:val="none" w:sz="0" w:space="0" w:color="auto"/>
            <w:left w:val="none" w:sz="0" w:space="0" w:color="auto"/>
            <w:bottom w:val="none" w:sz="0" w:space="0" w:color="auto"/>
            <w:right w:val="none" w:sz="0" w:space="0" w:color="auto"/>
          </w:divBdr>
        </w:div>
        <w:div w:id="350422026">
          <w:marLeft w:val="0"/>
          <w:marRight w:val="0"/>
          <w:marTop w:val="0"/>
          <w:marBottom w:val="0"/>
          <w:divBdr>
            <w:top w:val="none" w:sz="0" w:space="0" w:color="auto"/>
            <w:left w:val="none" w:sz="0" w:space="0" w:color="auto"/>
            <w:bottom w:val="none" w:sz="0" w:space="0" w:color="auto"/>
            <w:right w:val="none" w:sz="0" w:space="0" w:color="auto"/>
          </w:divBdr>
        </w:div>
        <w:div w:id="1826776312">
          <w:marLeft w:val="0"/>
          <w:marRight w:val="0"/>
          <w:marTop w:val="0"/>
          <w:marBottom w:val="0"/>
          <w:divBdr>
            <w:top w:val="none" w:sz="0" w:space="0" w:color="auto"/>
            <w:left w:val="none" w:sz="0" w:space="0" w:color="auto"/>
            <w:bottom w:val="none" w:sz="0" w:space="0" w:color="auto"/>
            <w:right w:val="none" w:sz="0" w:space="0" w:color="auto"/>
          </w:divBdr>
        </w:div>
        <w:div w:id="340814924">
          <w:marLeft w:val="0"/>
          <w:marRight w:val="0"/>
          <w:marTop w:val="0"/>
          <w:marBottom w:val="0"/>
          <w:divBdr>
            <w:top w:val="none" w:sz="0" w:space="0" w:color="auto"/>
            <w:left w:val="none" w:sz="0" w:space="0" w:color="auto"/>
            <w:bottom w:val="none" w:sz="0" w:space="0" w:color="auto"/>
            <w:right w:val="none" w:sz="0" w:space="0" w:color="auto"/>
          </w:divBdr>
        </w:div>
        <w:div w:id="946154113">
          <w:marLeft w:val="0"/>
          <w:marRight w:val="0"/>
          <w:marTop w:val="0"/>
          <w:marBottom w:val="0"/>
          <w:divBdr>
            <w:top w:val="none" w:sz="0" w:space="0" w:color="auto"/>
            <w:left w:val="none" w:sz="0" w:space="0" w:color="auto"/>
            <w:bottom w:val="none" w:sz="0" w:space="0" w:color="auto"/>
            <w:right w:val="none" w:sz="0" w:space="0" w:color="auto"/>
          </w:divBdr>
        </w:div>
        <w:div w:id="519708708">
          <w:marLeft w:val="0"/>
          <w:marRight w:val="0"/>
          <w:marTop w:val="0"/>
          <w:marBottom w:val="0"/>
          <w:divBdr>
            <w:top w:val="none" w:sz="0" w:space="0" w:color="auto"/>
            <w:left w:val="none" w:sz="0" w:space="0" w:color="auto"/>
            <w:bottom w:val="none" w:sz="0" w:space="0" w:color="auto"/>
            <w:right w:val="none" w:sz="0" w:space="0" w:color="auto"/>
          </w:divBdr>
        </w:div>
        <w:div w:id="696271798">
          <w:marLeft w:val="0"/>
          <w:marRight w:val="0"/>
          <w:marTop w:val="0"/>
          <w:marBottom w:val="0"/>
          <w:divBdr>
            <w:top w:val="none" w:sz="0" w:space="0" w:color="auto"/>
            <w:left w:val="none" w:sz="0" w:space="0" w:color="auto"/>
            <w:bottom w:val="none" w:sz="0" w:space="0" w:color="auto"/>
            <w:right w:val="none" w:sz="0" w:space="0" w:color="auto"/>
          </w:divBdr>
        </w:div>
      </w:divsChild>
    </w:div>
    <w:div w:id="837771169">
      <w:bodyDiv w:val="1"/>
      <w:marLeft w:val="0"/>
      <w:marRight w:val="0"/>
      <w:marTop w:val="0"/>
      <w:marBottom w:val="0"/>
      <w:divBdr>
        <w:top w:val="none" w:sz="0" w:space="0" w:color="auto"/>
        <w:left w:val="none" w:sz="0" w:space="0" w:color="auto"/>
        <w:bottom w:val="none" w:sz="0" w:space="0" w:color="auto"/>
        <w:right w:val="none" w:sz="0" w:space="0" w:color="auto"/>
      </w:divBdr>
    </w:div>
    <w:div w:id="1027028378">
      <w:bodyDiv w:val="1"/>
      <w:marLeft w:val="0"/>
      <w:marRight w:val="0"/>
      <w:marTop w:val="0"/>
      <w:marBottom w:val="0"/>
      <w:divBdr>
        <w:top w:val="none" w:sz="0" w:space="0" w:color="auto"/>
        <w:left w:val="none" w:sz="0" w:space="0" w:color="auto"/>
        <w:bottom w:val="none" w:sz="0" w:space="0" w:color="auto"/>
        <w:right w:val="none" w:sz="0" w:space="0" w:color="auto"/>
      </w:divBdr>
    </w:div>
    <w:div w:id="1039936993">
      <w:bodyDiv w:val="1"/>
      <w:marLeft w:val="0"/>
      <w:marRight w:val="0"/>
      <w:marTop w:val="0"/>
      <w:marBottom w:val="0"/>
      <w:divBdr>
        <w:top w:val="none" w:sz="0" w:space="0" w:color="auto"/>
        <w:left w:val="none" w:sz="0" w:space="0" w:color="auto"/>
        <w:bottom w:val="none" w:sz="0" w:space="0" w:color="auto"/>
        <w:right w:val="none" w:sz="0" w:space="0" w:color="auto"/>
      </w:divBdr>
    </w:div>
    <w:div w:id="1067416320">
      <w:bodyDiv w:val="1"/>
      <w:marLeft w:val="0"/>
      <w:marRight w:val="0"/>
      <w:marTop w:val="0"/>
      <w:marBottom w:val="0"/>
      <w:divBdr>
        <w:top w:val="none" w:sz="0" w:space="0" w:color="auto"/>
        <w:left w:val="none" w:sz="0" w:space="0" w:color="auto"/>
        <w:bottom w:val="none" w:sz="0" w:space="0" w:color="auto"/>
        <w:right w:val="none" w:sz="0" w:space="0" w:color="auto"/>
      </w:divBdr>
      <w:divsChild>
        <w:div w:id="1334139909">
          <w:marLeft w:val="0"/>
          <w:marRight w:val="0"/>
          <w:marTop w:val="0"/>
          <w:marBottom w:val="0"/>
          <w:divBdr>
            <w:top w:val="none" w:sz="0" w:space="0" w:color="auto"/>
            <w:left w:val="none" w:sz="0" w:space="0" w:color="auto"/>
            <w:bottom w:val="single" w:sz="8" w:space="1" w:color="auto"/>
            <w:right w:val="none" w:sz="0" w:space="0" w:color="auto"/>
          </w:divBdr>
        </w:div>
      </w:divsChild>
    </w:div>
    <w:div w:id="1143430072">
      <w:bodyDiv w:val="1"/>
      <w:marLeft w:val="0"/>
      <w:marRight w:val="0"/>
      <w:marTop w:val="0"/>
      <w:marBottom w:val="0"/>
      <w:divBdr>
        <w:top w:val="none" w:sz="0" w:space="0" w:color="auto"/>
        <w:left w:val="none" w:sz="0" w:space="0" w:color="auto"/>
        <w:bottom w:val="none" w:sz="0" w:space="0" w:color="auto"/>
        <w:right w:val="none" w:sz="0" w:space="0" w:color="auto"/>
      </w:divBdr>
    </w:div>
    <w:div w:id="1180851494">
      <w:bodyDiv w:val="1"/>
      <w:marLeft w:val="0"/>
      <w:marRight w:val="0"/>
      <w:marTop w:val="0"/>
      <w:marBottom w:val="0"/>
      <w:divBdr>
        <w:top w:val="none" w:sz="0" w:space="0" w:color="auto"/>
        <w:left w:val="none" w:sz="0" w:space="0" w:color="auto"/>
        <w:bottom w:val="none" w:sz="0" w:space="0" w:color="auto"/>
        <w:right w:val="none" w:sz="0" w:space="0" w:color="auto"/>
      </w:divBdr>
    </w:div>
    <w:div w:id="1181120268">
      <w:bodyDiv w:val="1"/>
      <w:marLeft w:val="0"/>
      <w:marRight w:val="0"/>
      <w:marTop w:val="0"/>
      <w:marBottom w:val="0"/>
      <w:divBdr>
        <w:top w:val="none" w:sz="0" w:space="0" w:color="auto"/>
        <w:left w:val="none" w:sz="0" w:space="0" w:color="auto"/>
        <w:bottom w:val="none" w:sz="0" w:space="0" w:color="auto"/>
        <w:right w:val="none" w:sz="0" w:space="0" w:color="auto"/>
      </w:divBdr>
    </w:div>
    <w:div w:id="1232892092">
      <w:bodyDiv w:val="1"/>
      <w:marLeft w:val="0"/>
      <w:marRight w:val="0"/>
      <w:marTop w:val="0"/>
      <w:marBottom w:val="0"/>
      <w:divBdr>
        <w:top w:val="none" w:sz="0" w:space="0" w:color="auto"/>
        <w:left w:val="none" w:sz="0" w:space="0" w:color="auto"/>
        <w:bottom w:val="none" w:sz="0" w:space="0" w:color="auto"/>
        <w:right w:val="none" w:sz="0" w:space="0" w:color="auto"/>
      </w:divBdr>
    </w:div>
    <w:div w:id="1307247416">
      <w:bodyDiv w:val="1"/>
      <w:marLeft w:val="0"/>
      <w:marRight w:val="0"/>
      <w:marTop w:val="0"/>
      <w:marBottom w:val="0"/>
      <w:divBdr>
        <w:top w:val="none" w:sz="0" w:space="0" w:color="auto"/>
        <w:left w:val="none" w:sz="0" w:space="0" w:color="auto"/>
        <w:bottom w:val="none" w:sz="0" w:space="0" w:color="auto"/>
        <w:right w:val="none" w:sz="0" w:space="0" w:color="auto"/>
      </w:divBdr>
    </w:div>
    <w:div w:id="1431193753">
      <w:bodyDiv w:val="1"/>
      <w:marLeft w:val="0"/>
      <w:marRight w:val="0"/>
      <w:marTop w:val="0"/>
      <w:marBottom w:val="0"/>
      <w:divBdr>
        <w:top w:val="none" w:sz="0" w:space="0" w:color="auto"/>
        <w:left w:val="none" w:sz="0" w:space="0" w:color="auto"/>
        <w:bottom w:val="none" w:sz="0" w:space="0" w:color="auto"/>
        <w:right w:val="none" w:sz="0" w:space="0" w:color="auto"/>
      </w:divBdr>
    </w:div>
    <w:div w:id="1533953102">
      <w:bodyDiv w:val="1"/>
      <w:marLeft w:val="0"/>
      <w:marRight w:val="0"/>
      <w:marTop w:val="0"/>
      <w:marBottom w:val="0"/>
      <w:divBdr>
        <w:top w:val="none" w:sz="0" w:space="0" w:color="auto"/>
        <w:left w:val="none" w:sz="0" w:space="0" w:color="auto"/>
        <w:bottom w:val="none" w:sz="0" w:space="0" w:color="auto"/>
        <w:right w:val="none" w:sz="0" w:space="0" w:color="auto"/>
      </w:divBdr>
    </w:div>
    <w:div w:id="1541164980">
      <w:bodyDiv w:val="1"/>
      <w:marLeft w:val="0"/>
      <w:marRight w:val="0"/>
      <w:marTop w:val="0"/>
      <w:marBottom w:val="0"/>
      <w:divBdr>
        <w:top w:val="none" w:sz="0" w:space="0" w:color="auto"/>
        <w:left w:val="none" w:sz="0" w:space="0" w:color="auto"/>
        <w:bottom w:val="none" w:sz="0" w:space="0" w:color="auto"/>
        <w:right w:val="none" w:sz="0" w:space="0" w:color="auto"/>
      </w:divBdr>
    </w:div>
    <w:div w:id="1644971053">
      <w:bodyDiv w:val="1"/>
      <w:marLeft w:val="0"/>
      <w:marRight w:val="0"/>
      <w:marTop w:val="0"/>
      <w:marBottom w:val="0"/>
      <w:divBdr>
        <w:top w:val="none" w:sz="0" w:space="0" w:color="auto"/>
        <w:left w:val="none" w:sz="0" w:space="0" w:color="auto"/>
        <w:bottom w:val="none" w:sz="0" w:space="0" w:color="auto"/>
        <w:right w:val="none" w:sz="0" w:space="0" w:color="auto"/>
      </w:divBdr>
    </w:div>
    <w:div w:id="1711877139">
      <w:bodyDiv w:val="1"/>
      <w:marLeft w:val="0"/>
      <w:marRight w:val="0"/>
      <w:marTop w:val="0"/>
      <w:marBottom w:val="0"/>
      <w:divBdr>
        <w:top w:val="none" w:sz="0" w:space="0" w:color="auto"/>
        <w:left w:val="none" w:sz="0" w:space="0" w:color="auto"/>
        <w:bottom w:val="none" w:sz="0" w:space="0" w:color="auto"/>
        <w:right w:val="none" w:sz="0" w:space="0" w:color="auto"/>
      </w:divBdr>
    </w:div>
    <w:div w:id="1718358229">
      <w:bodyDiv w:val="1"/>
      <w:marLeft w:val="0"/>
      <w:marRight w:val="0"/>
      <w:marTop w:val="0"/>
      <w:marBottom w:val="0"/>
      <w:divBdr>
        <w:top w:val="none" w:sz="0" w:space="0" w:color="auto"/>
        <w:left w:val="none" w:sz="0" w:space="0" w:color="auto"/>
        <w:bottom w:val="none" w:sz="0" w:space="0" w:color="auto"/>
        <w:right w:val="none" w:sz="0" w:space="0" w:color="auto"/>
      </w:divBdr>
    </w:div>
    <w:div w:id="18873336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1365</Words>
  <Characters>7784</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Leslie</dc:creator>
  <cp:keywords/>
  <dc:description/>
  <cp:lastModifiedBy>Gerald Leslie</cp:lastModifiedBy>
  <cp:revision>3</cp:revision>
  <dcterms:created xsi:type="dcterms:W3CDTF">2018-06-14T03:01:00Z</dcterms:created>
  <dcterms:modified xsi:type="dcterms:W3CDTF">2018-06-14T03:13:00Z</dcterms:modified>
</cp:coreProperties>
</file>