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54AE" w14:textId="77777777" w:rsidR="00DF7BF2" w:rsidRPr="00DF7BF2" w:rsidRDefault="00DF7BF2" w:rsidP="00DF7BF2">
      <w:pPr>
        <w:spacing w:after="0" w:line="240" w:lineRule="auto"/>
        <w:rPr>
          <w:rFonts w:ascii="Arial" w:hAnsi="Arial" w:cs="Arial"/>
          <w:b/>
        </w:rPr>
      </w:pPr>
    </w:p>
    <w:p w14:paraId="67E97C83" w14:textId="132C3A3F" w:rsidR="00044370" w:rsidRPr="00DF7BF2" w:rsidRDefault="00163B67" w:rsidP="00DF7B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applicant for the FY17 Coordinated Entry Project, </w:t>
      </w:r>
      <w:r w:rsidR="003156C9">
        <w:rPr>
          <w:rFonts w:ascii="Arial" w:hAnsi="Arial" w:cs="Arial"/>
        </w:rPr>
        <w:t>the Continuum of Care (</w:t>
      </w:r>
      <w:proofErr w:type="spellStart"/>
      <w:r w:rsidR="003156C9">
        <w:rPr>
          <w:rFonts w:ascii="Arial" w:hAnsi="Arial" w:cs="Arial"/>
        </w:rPr>
        <w:t>CoC</w:t>
      </w:r>
      <w:proofErr w:type="spellEnd"/>
      <w:r w:rsidR="003156C9">
        <w:rPr>
          <w:rFonts w:ascii="Arial" w:hAnsi="Arial" w:cs="Arial"/>
        </w:rPr>
        <w:t>)</w:t>
      </w:r>
      <w:r w:rsidRPr="0016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 for submitting expenditures to HUD on behalf of the Balance of State Local Planning Bodies (hereinafter known as sub-grantees)</w:t>
      </w:r>
      <w:r w:rsidRPr="00163B67">
        <w:rPr>
          <w:rFonts w:ascii="Arial" w:hAnsi="Arial" w:cs="Arial"/>
        </w:rPr>
        <w:t>. In order to track</w:t>
      </w:r>
      <w:r>
        <w:rPr>
          <w:rFonts w:ascii="Arial" w:hAnsi="Arial" w:cs="Arial"/>
        </w:rPr>
        <w:t xml:space="preserve"> each sub-grantee</w:t>
      </w:r>
      <w:r w:rsidR="00C81DE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expenditures throughout the project term, </w:t>
      </w:r>
      <w:r w:rsidR="003156C9">
        <w:rPr>
          <w:rFonts w:ascii="Arial" w:hAnsi="Arial" w:cs="Arial"/>
        </w:rPr>
        <w:t xml:space="preserve">the </w:t>
      </w:r>
      <w:proofErr w:type="spellStart"/>
      <w:r w:rsidR="003156C9"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is adopting a </w:t>
      </w:r>
      <w:r w:rsidR="003156C9">
        <w:rPr>
          <w:rFonts w:ascii="Arial" w:hAnsi="Arial" w:cs="Arial"/>
        </w:rPr>
        <w:t>quarterly Reimbursement Billing and Reporting</w:t>
      </w:r>
      <w:r>
        <w:rPr>
          <w:rFonts w:ascii="Arial" w:hAnsi="Arial" w:cs="Arial"/>
        </w:rPr>
        <w:t xml:space="preserve"> process, as outlined below.</w:t>
      </w:r>
      <w:bookmarkStart w:id="0" w:name="_GoBack"/>
      <w:bookmarkEnd w:id="0"/>
    </w:p>
    <w:p w14:paraId="035A9D9D" w14:textId="77777777" w:rsidR="00044370" w:rsidRPr="00DE7B40" w:rsidRDefault="00044370" w:rsidP="00044370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</w:p>
    <w:p w14:paraId="465D325A" w14:textId="77777777" w:rsidR="00DF7BF2" w:rsidRPr="00DF7BF2" w:rsidRDefault="003156C9" w:rsidP="00044370">
      <w:pPr>
        <w:pStyle w:val="ListParagraph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Reimbursement</w:t>
      </w:r>
      <w:r w:rsidR="00DF7BF2" w:rsidRPr="00DF7BF2">
        <w:rPr>
          <w:rFonts w:ascii="Arial" w:hAnsi="Arial" w:cs="Arial"/>
          <w:b/>
        </w:rPr>
        <w:t xml:space="preserve"> Due Dates:</w:t>
      </w:r>
    </w:p>
    <w:p w14:paraId="006187E2" w14:textId="77777777" w:rsidR="00DF7BF2" w:rsidRPr="00DE7B40" w:rsidRDefault="00DF7BF2" w:rsidP="00044370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7465"/>
      </w:tblGrid>
      <w:tr w:rsidR="00DF7BF2" w:rsidRPr="00DF7BF2" w14:paraId="63FFB6E0" w14:textId="77777777" w:rsidTr="00DF7BF2">
        <w:tc>
          <w:tcPr>
            <w:tcW w:w="1165" w:type="dxa"/>
          </w:tcPr>
          <w:p w14:paraId="38A68CC5" w14:textId="77777777" w:rsidR="00DF7BF2" w:rsidRPr="00DF7BF2" w:rsidRDefault="003156C9" w:rsidP="00DF7BF2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 1</w:t>
            </w:r>
            <w:r w:rsidR="00DF7BF2" w:rsidRPr="00DF7B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5" w:type="dxa"/>
          </w:tcPr>
          <w:p w14:paraId="687326B9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DF7BF2">
              <w:rPr>
                <w:rFonts w:ascii="Arial" w:hAnsi="Arial" w:cs="Arial"/>
                <w:b/>
              </w:rPr>
              <w:t xml:space="preserve">Due by </w:t>
            </w:r>
            <w:r w:rsidR="003156C9">
              <w:rPr>
                <w:rFonts w:ascii="Arial" w:hAnsi="Arial" w:cs="Arial"/>
                <w:b/>
              </w:rPr>
              <w:t>October</w:t>
            </w:r>
            <w:r w:rsidR="00163B67">
              <w:rPr>
                <w:rFonts w:ascii="Arial" w:hAnsi="Arial" w:cs="Arial"/>
                <w:b/>
              </w:rPr>
              <w:t xml:space="preserve"> 15</w:t>
            </w:r>
            <w:r w:rsidRPr="00DF7BF2">
              <w:rPr>
                <w:rFonts w:ascii="Arial" w:hAnsi="Arial" w:cs="Arial"/>
              </w:rPr>
              <w:t xml:space="preserve"> (covers expenditures from the start date of billable expenditures to </w:t>
            </w:r>
            <w:r w:rsidR="003156C9">
              <w:rPr>
                <w:rFonts w:ascii="Arial" w:hAnsi="Arial" w:cs="Arial"/>
              </w:rPr>
              <w:t>September 30</w:t>
            </w:r>
            <w:r w:rsidRPr="00DF7BF2">
              <w:rPr>
                <w:rFonts w:ascii="Arial" w:hAnsi="Arial" w:cs="Arial"/>
              </w:rPr>
              <w:t>)</w:t>
            </w:r>
          </w:p>
          <w:p w14:paraId="24A18889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BF2" w:rsidRPr="00DF7BF2" w14:paraId="56B358F5" w14:textId="77777777" w:rsidTr="00DF7BF2">
        <w:tc>
          <w:tcPr>
            <w:tcW w:w="1165" w:type="dxa"/>
          </w:tcPr>
          <w:p w14:paraId="641797AC" w14:textId="77777777" w:rsidR="00DF7BF2" w:rsidRPr="00DF7BF2" w:rsidRDefault="003156C9" w:rsidP="00DF7BF2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Quarter </w:t>
            </w:r>
            <w:r w:rsidR="00DF7BF2" w:rsidRPr="00DF7BF2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7465" w:type="dxa"/>
          </w:tcPr>
          <w:p w14:paraId="78229BB0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DF7BF2">
              <w:rPr>
                <w:rFonts w:ascii="Arial" w:hAnsi="Arial" w:cs="Arial"/>
                <w:b/>
              </w:rPr>
              <w:t xml:space="preserve">Due by </w:t>
            </w:r>
            <w:r w:rsidR="003156C9">
              <w:rPr>
                <w:rFonts w:ascii="Arial" w:hAnsi="Arial" w:cs="Arial"/>
                <w:b/>
              </w:rPr>
              <w:t>January</w:t>
            </w:r>
            <w:r w:rsidRPr="00DF7BF2">
              <w:rPr>
                <w:rFonts w:ascii="Arial" w:hAnsi="Arial" w:cs="Arial"/>
                <w:b/>
              </w:rPr>
              <w:t xml:space="preserve"> 15</w:t>
            </w:r>
            <w:r w:rsidRPr="00DF7BF2">
              <w:rPr>
                <w:rFonts w:ascii="Arial" w:hAnsi="Arial" w:cs="Arial"/>
              </w:rPr>
              <w:t xml:space="preserve"> (covers expenditures from </w:t>
            </w:r>
            <w:r w:rsidR="003156C9">
              <w:rPr>
                <w:rFonts w:ascii="Arial" w:hAnsi="Arial" w:cs="Arial"/>
              </w:rPr>
              <w:t>October 1 – December 31</w:t>
            </w:r>
            <w:r w:rsidRPr="00DF7BF2">
              <w:rPr>
                <w:rFonts w:ascii="Arial" w:hAnsi="Arial" w:cs="Arial"/>
              </w:rPr>
              <w:t>)</w:t>
            </w:r>
          </w:p>
          <w:p w14:paraId="62BBB8F4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BF2" w:rsidRPr="00DF7BF2" w14:paraId="61C974D0" w14:textId="77777777" w:rsidTr="00DF7BF2">
        <w:tc>
          <w:tcPr>
            <w:tcW w:w="1165" w:type="dxa"/>
          </w:tcPr>
          <w:p w14:paraId="3968938F" w14:textId="77777777" w:rsidR="00DF7BF2" w:rsidRPr="00DF7BF2" w:rsidRDefault="003156C9" w:rsidP="00DF7BF2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Quarter </w:t>
            </w:r>
            <w:r w:rsidR="00DF7BF2" w:rsidRPr="00DF7BF2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7465" w:type="dxa"/>
          </w:tcPr>
          <w:p w14:paraId="7BF1A5A5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DF7BF2">
              <w:rPr>
                <w:rFonts w:ascii="Arial" w:hAnsi="Arial" w:cs="Arial"/>
                <w:b/>
              </w:rPr>
              <w:t xml:space="preserve">Due by </w:t>
            </w:r>
            <w:r w:rsidR="003156C9">
              <w:rPr>
                <w:rFonts w:ascii="Arial" w:hAnsi="Arial" w:cs="Arial"/>
                <w:b/>
              </w:rPr>
              <w:t>April</w:t>
            </w:r>
            <w:r w:rsidR="00163B67">
              <w:rPr>
                <w:rFonts w:ascii="Arial" w:hAnsi="Arial" w:cs="Arial"/>
                <w:b/>
              </w:rPr>
              <w:t xml:space="preserve"> </w:t>
            </w:r>
            <w:r w:rsidRPr="00DF7BF2">
              <w:rPr>
                <w:rFonts w:ascii="Arial" w:hAnsi="Arial" w:cs="Arial"/>
                <w:b/>
              </w:rPr>
              <w:t>15</w:t>
            </w:r>
            <w:r w:rsidRPr="00DF7BF2">
              <w:rPr>
                <w:rFonts w:ascii="Arial" w:hAnsi="Arial" w:cs="Arial"/>
              </w:rPr>
              <w:t xml:space="preserve"> (covers expenditures from </w:t>
            </w:r>
            <w:r w:rsidR="003156C9">
              <w:rPr>
                <w:rFonts w:ascii="Arial" w:hAnsi="Arial" w:cs="Arial"/>
              </w:rPr>
              <w:t>January 1 – March 31</w:t>
            </w:r>
            <w:r w:rsidRPr="00DF7BF2">
              <w:rPr>
                <w:rFonts w:ascii="Arial" w:hAnsi="Arial" w:cs="Arial"/>
              </w:rPr>
              <w:t>)</w:t>
            </w:r>
          </w:p>
          <w:p w14:paraId="006C9CD6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BF2" w:rsidRPr="00DF7BF2" w14:paraId="2B94F067" w14:textId="77777777" w:rsidTr="00DF7BF2">
        <w:tc>
          <w:tcPr>
            <w:tcW w:w="1165" w:type="dxa"/>
          </w:tcPr>
          <w:p w14:paraId="08933CD0" w14:textId="77777777" w:rsidR="00DF7BF2" w:rsidRPr="00DF7BF2" w:rsidRDefault="003156C9" w:rsidP="00DF7BF2">
            <w:pPr>
              <w:pStyle w:val="ListParagraph"/>
              <w:spacing w:after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Quarter </w:t>
            </w:r>
            <w:r w:rsidR="00DF7BF2" w:rsidRPr="00DF7BF2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7465" w:type="dxa"/>
          </w:tcPr>
          <w:p w14:paraId="1390B010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DF7BF2">
              <w:rPr>
                <w:rFonts w:ascii="Arial" w:hAnsi="Arial" w:cs="Arial"/>
                <w:b/>
              </w:rPr>
              <w:t xml:space="preserve">Due by </w:t>
            </w:r>
            <w:r w:rsidR="003156C9">
              <w:rPr>
                <w:rFonts w:ascii="Arial" w:hAnsi="Arial" w:cs="Arial"/>
                <w:b/>
              </w:rPr>
              <w:t>July</w:t>
            </w:r>
            <w:r w:rsidR="00163B67">
              <w:rPr>
                <w:rFonts w:ascii="Arial" w:hAnsi="Arial" w:cs="Arial"/>
                <w:b/>
              </w:rPr>
              <w:t xml:space="preserve"> </w:t>
            </w:r>
            <w:r w:rsidRPr="00DF7BF2">
              <w:rPr>
                <w:rFonts w:ascii="Arial" w:hAnsi="Arial" w:cs="Arial"/>
                <w:b/>
              </w:rPr>
              <w:t>15</w:t>
            </w:r>
            <w:r w:rsidRPr="00DF7BF2">
              <w:rPr>
                <w:rFonts w:ascii="Arial" w:hAnsi="Arial" w:cs="Arial"/>
              </w:rPr>
              <w:t xml:space="preserve"> (covers expenditures from </w:t>
            </w:r>
            <w:r w:rsidR="003156C9">
              <w:rPr>
                <w:rFonts w:ascii="Arial" w:hAnsi="Arial" w:cs="Arial"/>
              </w:rPr>
              <w:t>April 1 – June 30</w:t>
            </w:r>
            <w:r w:rsidR="00C93EFB">
              <w:rPr>
                <w:rFonts w:ascii="Arial" w:hAnsi="Arial" w:cs="Arial"/>
              </w:rPr>
              <w:t>); marked FINAL</w:t>
            </w:r>
            <w:r w:rsidRPr="00DF7BF2">
              <w:rPr>
                <w:rFonts w:ascii="Arial" w:hAnsi="Arial" w:cs="Arial"/>
              </w:rPr>
              <w:t>.</w:t>
            </w:r>
          </w:p>
          <w:p w14:paraId="30BF07A4" w14:textId="77777777" w:rsidR="00DF7BF2" w:rsidRPr="00DF7BF2" w:rsidRDefault="00DF7BF2" w:rsidP="0004437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D76062" w14:textId="77777777" w:rsidR="00044370" w:rsidRPr="00DE7B40" w:rsidRDefault="00044370" w:rsidP="00044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995595" w14:textId="77777777" w:rsidR="00FD3E2C" w:rsidRPr="00FD3E2C" w:rsidRDefault="00F37C2B" w:rsidP="00FD3E2C">
      <w:pPr>
        <w:spacing w:after="0" w:line="240" w:lineRule="auto"/>
        <w:rPr>
          <w:rFonts w:ascii="Arial" w:hAnsi="Arial" w:cs="Arial"/>
        </w:rPr>
      </w:pPr>
      <w:r w:rsidRPr="00DF7BF2">
        <w:rPr>
          <w:rFonts w:ascii="Arial" w:hAnsi="Arial" w:cs="Arial"/>
          <w:b/>
        </w:rPr>
        <w:t xml:space="preserve">All sub-grantees must submit the following within each </w:t>
      </w:r>
      <w:r w:rsidR="003156C9">
        <w:rPr>
          <w:rFonts w:ascii="Arial" w:hAnsi="Arial" w:cs="Arial"/>
          <w:b/>
        </w:rPr>
        <w:t>Reimbursement</w:t>
      </w:r>
      <w:r w:rsidRPr="00DF7BF2">
        <w:rPr>
          <w:rFonts w:ascii="Arial" w:hAnsi="Arial" w:cs="Arial"/>
          <w:b/>
        </w:rPr>
        <w:t xml:space="preserve"> that is submitted:</w:t>
      </w:r>
    </w:p>
    <w:p w14:paraId="757527FE" w14:textId="77777777" w:rsidR="004B43D1" w:rsidRDefault="0063068C" w:rsidP="002440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402E">
        <w:rPr>
          <w:rFonts w:ascii="Arial" w:hAnsi="Arial" w:cs="Arial"/>
        </w:rPr>
        <w:t xml:space="preserve">For </w:t>
      </w:r>
      <w:r w:rsidR="004B43D1" w:rsidRPr="00C93EFB">
        <w:rPr>
          <w:rFonts w:ascii="Arial" w:hAnsi="Arial" w:cs="Arial"/>
          <w:b/>
        </w:rPr>
        <w:t>Assessment, Case Management, Housing Search, and Outreach</w:t>
      </w:r>
      <w:r w:rsidR="00044370" w:rsidRPr="0024402E">
        <w:rPr>
          <w:rFonts w:ascii="Arial" w:hAnsi="Arial" w:cs="Arial"/>
        </w:rPr>
        <w:t xml:space="preserve">: </w:t>
      </w:r>
      <w:r w:rsidR="004B43D1">
        <w:rPr>
          <w:rFonts w:ascii="Arial" w:hAnsi="Arial" w:cs="Arial"/>
        </w:rPr>
        <w:t>Payroll reports and t</w:t>
      </w:r>
      <w:r w:rsidR="004B43D1" w:rsidRPr="0024402E">
        <w:rPr>
          <w:rFonts w:ascii="Arial" w:hAnsi="Arial" w:cs="Arial"/>
        </w:rPr>
        <w:t>imesheets</w:t>
      </w:r>
      <w:r w:rsidR="004B43D1">
        <w:rPr>
          <w:rFonts w:ascii="Arial" w:hAnsi="Arial" w:cs="Arial"/>
        </w:rPr>
        <w:t xml:space="preserve"> (hourly rate included)</w:t>
      </w:r>
      <w:r w:rsidR="004B43D1" w:rsidRPr="0024402E">
        <w:rPr>
          <w:rFonts w:ascii="Arial" w:hAnsi="Arial" w:cs="Arial"/>
        </w:rPr>
        <w:t xml:space="preserve"> for employees paid with </w:t>
      </w:r>
      <w:r w:rsidR="004B43D1">
        <w:rPr>
          <w:rFonts w:ascii="Arial" w:hAnsi="Arial" w:cs="Arial"/>
        </w:rPr>
        <w:t>Coordinated Entry</w:t>
      </w:r>
      <w:r w:rsidR="004B43D1" w:rsidRPr="0024402E">
        <w:rPr>
          <w:rFonts w:ascii="Arial" w:hAnsi="Arial" w:cs="Arial"/>
        </w:rPr>
        <w:t xml:space="preserve"> funds</w:t>
      </w:r>
      <w:r w:rsidR="003156C9">
        <w:rPr>
          <w:rFonts w:ascii="Arial" w:hAnsi="Arial" w:cs="Arial"/>
        </w:rPr>
        <w:t>.</w:t>
      </w:r>
    </w:p>
    <w:p w14:paraId="2A8C2693" w14:textId="77777777" w:rsidR="004B43D1" w:rsidRDefault="004B43D1" w:rsidP="002440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C93EFB">
        <w:rPr>
          <w:rFonts w:ascii="Arial" w:hAnsi="Arial" w:cs="Arial"/>
          <w:b/>
        </w:rPr>
        <w:t>Transportation</w:t>
      </w:r>
      <w:r>
        <w:rPr>
          <w:rFonts w:ascii="Arial" w:hAnsi="Arial" w:cs="Arial"/>
        </w:rPr>
        <w:t>: All purchase costs to include c</w:t>
      </w:r>
      <w:r w:rsidR="000657D2" w:rsidRPr="0024402E">
        <w:rPr>
          <w:rFonts w:ascii="Arial" w:hAnsi="Arial" w:cs="Arial"/>
        </w:rPr>
        <w:t xml:space="preserve">heck request form, check number, amount paid, </w:t>
      </w:r>
      <w:r w:rsidR="00044370" w:rsidRPr="0024402E">
        <w:rPr>
          <w:rFonts w:ascii="Arial" w:hAnsi="Arial" w:cs="Arial"/>
        </w:rPr>
        <w:t>date of p</w:t>
      </w:r>
      <w:r>
        <w:rPr>
          <w:rFonts w:ascii="Arial" w:hAnsi="Arial" w:cs="Arial"/>
        </w:rPr>
        <w:t>ayment</w:t>
      </w:r>
      <w:r w:rsidR="003156C9">
        <w:rPr>
          <w:rFonts w:ascii="Arial" w:hAnsi="Arial" w:cs="Arial"/>
        </w:rPr>
        <w:t>.</w:t>
      </w:r>
    </w:p>
    <w:p w14:paraId="5DB08D13" w14:textId="77777777" w:rsidR="00C93EFB" w:rsidRDefault="004B43D1" w:rsidP="004B43D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C93EFB">
        <w:rPr>
          <w:rFonts w:ascii="Arial" w:hAnsi="Arial" w:cs="Arial"/>
        </w:rPr>
        <w:t>For Bus Tickets: Number of tickets purchased, cost per ticket, type of ticket (</w:t>
      </w:r>
      <w:r w:rsidR="00C93EFB">
        <w:rPr>
          <w:rFonts w:ascii="Arial" w:hAnsi="Arial" w:cs="Arial"/>
        </w:rPr>
        <w:t>e.g</w:t>
      </w:r>
      <w:r w:rsidRPr="00C93EFB">
        <w:rPr>
          <w:rFonts w:ascii="Arial" w:hAnsi="Arial" w:cs="Arial"/>
        </w:rPr>
        <w:t>.</w:t>
      </w:r>
      <w:r w:rsidR="00C93EFB">
        <w:rPr>
          <w:rFonts w:ascii="Arial" w:hAnsi="Arial" w:cs="Arial"/>
        </w:rPr>
        <w:t>,</w:t>
      </w:r>
      <w:r w:rsidRPr="00C93EFB">
        <w:rPr>
          <w:rFonts w:ascii="Arial" w:hAnsi="Arial" w:cs="Arial"/>
        </w:rPr>
        <w:t xml:space="preserve"> single ride, extended passes)</w:t>
      </w:r>
      <w:r w:rsidR="003156C9">
        <w:rPr>
          <w:rFonts w:ascii="Arial" w:hAnsi="Arial" w:cs="Arial"/>
        </w:rPr>
        <w:t>.</w:t>
      </w:r>
    </w:p>
    <w:p w14:paraId="5920EA2B" w14:textId="77777777" w:rsidR="004B43D1" w:rsidRPr="00C93EFB" w:rsidRDefault="004B43D1" w:rsidP="004B43D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C93EFB">
        <w:rPr>
          <w:rFonts w:ascii="Arial" w:hAnsi="Arial" w:cs="Arial"/>
        </w:rPr>
        <w:t>For Gas Cards/Vouchers: Number of cards/vouchers purchased, cost per item, n</w:t>
      </w:r>
      <w:r w:rsidR="0024402E" w:rsidRPr="00C93EFB">
        <w:rPr>
          <w:rFonts w:ascii="Arial" w:hAnsi="Arial" w:cs="Arial"/>
        </w:rPr>
        <w:t>ame of client</w:t>
      </w:r>
      <w:r w:rsidRPr="00C93EFB">
        <w:rPr>
          <w:rFonts w:ascii="Arial" w:hAnsi="Arial" w:cs="Arial"/>
        </w:rPr>
        <w:t xml:space="preserve"> and HMIS number</w:t>
      </w:r>
      <w:r w:rsidR="003156C9">
        <w:rPr>
          <w:rFonts w:ascii="Arial" w:hAnsi="Arial" w:cs="Arial"/>
        </w:rPr>
        <w:t>.</w:t>
      </w:r>
    </w:p>
    <w:p w14:paraId="5EC44C69" w14:textId="77777777" w:rsidR="00210156" w:rsidRPr="0024402E" w:rsidRDefault="004B43D1" w:rsidP="004B43D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Staff Time: Payroll reports and t</w:t>
      </w:r>
      <w:r w:rsidRPr="0024402E">
        <w:rPr>
          <w:rFonts w:ascii="Arial" w:hAnsi="Arial" w:cs="Arial"/>
        </w:rPr>
        <w:t>imesheets</w:t>
      </w:r>
      <w:r>
        <w:rPr>
          <w:rFonts w:ascii="Arial" w:hAnsi="Arial" w:cs="Arial"/>
        </w:rPr>
        <w:t xml:space="preserve"> (hourly rate included)</w:t>
      </w:r>
      <w:r w:rsidRPr="0024402E">
        <w:rPr>
          <w:rFonts w:ascii="Arial" w:hAnsi="Arial" w:cs="Arial"/>
        </w:rPr>
        <w:t xml:space="preserve"> for employees paid with </w:t>
      </w:r>
      <w:r>
        <w:rPr>
          <w:rFonts w:ascii="Arial" w:hAnsi="Arial" w:cs="Arial"/>
        </w:rPr>
        <w:t>Coordinated Entry</w:t>
      </w:r>
      <w:r w:rsidRPr="0024402E">
        <w:rPr>
          <w:rFonts w:ascii="Arial" w:hAnsi="Arial" w:cs="Arial"/>
        </w:rPr>
        <w:t xml:space="preserve"> funds</w:t>
      </w:r>
      <w:r w:rsidR="003156C9">
        <w:rPr>
          <w:rFonts w:ascii="Arial" w:hAnsi="Arial" w:cs="Arial"/>
        </w:rPr>
        <w:t>.</w:t>
      </w:r>
    </w:p>
    <w:p w14:paraId="2BB43B5A" w14:textId="77777777" w:rsidR="00044370" w:rsidRPr="00DE7B40" w:rsidRDefault="00044370" w:rsidP="00044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55B20E" w14:textId="77777777" w:rsidR="00044370" w:rsidRPr="0024402E" w:rsidRDefault="00044370" w:rsidP="00044370">
      <w:pPr>
        <w:spacing w:after="0"/>
        <w:ind w:left="2160" w:hanging="2160"/>
        <w:rPr>
          <w:rFonts w:ascii="Arial" w:hAnsi="Arial" w:cs="Arial"/>
          <w:b/>
        </w:rPr>
      </w:pPr>
      <w:r w:rsidRPr="0024402E">
        <w:rPr>
          <w:rFonts w:ascii="Arial" w:hAnsi="Arial" w:cs="Arial"/>
          <w:b/>
        </w:rPr>
        <w:t xml:space="preserve">Budget Deviation*: </w:t>
      </w:r>
    </w:p>
    <w:p w14:paraId="3E9C8C11" w14:textId="77777777" w:rsidR="00044370" w:rsidRPr="00C93EFB" w:rsidRDefault="00044370" w:rsidP="00C93E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93EFB">
        <w:rPr>
          <w:rFonts w:ascii="Arial" w:hAnsi="Arial" w:cs="Arial"/>
        </w:rPr>
        <w:t>For changes between budget components</w:t>
      </w:r>
      <w:r w:rsidR="00C93EFB">
        <w:rPr>
          <w:rFonts w:ascii="Arial" w:hAnsi="Arial" w:cs="Arial"/>
        </w:rPr>
        <w:t xml:space="preserve"> </w:t>
      </w:r>
      <w:r w:rsidR="00C93EFB" w:rsidRPr="00C93EFB">
        <w:rPr>
          <w:rFonts w:ascii="Arial" w:hAnsi="Arial" w:cs="Arial"/>
        </w:rPr>
        <w:t xml:space="preserve">(e.g., moving funds from Assessment to Case Management), a revised budget component page documenting the change </w:t>
      </w:r>
      <w:r w:rsidR="00C93EFB" w:rsidRPr="00C93EFB">
        <w:rPr>
          <w:rFonts w:ascii="Arial" w:hAnsi="Arial" w:cs="Arial"/>
          <w:b/>
        </w:rPr>
        <w:t xml:space="preserve">and </w:t>
      </w:r>
      <w:r w:rsidR="00C93EFB" w:rsidRPr="00C93EFB">
        <w:rPr>
          <w:rFonts w:ascii="Arial" w:hAnsi="Arial" w:cs="Arial"/>
        </w:rPr>
        <w:t xml:space="preserve">acknowledgment from the </w:t>
      </w:r>
      <w:proofErr w:type="spellStart"/>
      <w:r w:rsidR="00C93EFB" w:rsidRPr="00C93EFB">
        <w:rPr>
          <w:rFonts w:ascii="Arial" w:hAnsi="Arial" w:cs="Arial"/>
        </w:rPr>
        <w:t>CoC</w:t>
      </w:r>
      <w:proofErr w:type="spellEnd"/>
      <w:r w:rsidR="00C93EFB" w:rsidRPr="00C93EFB">
        <w:rPr>
          <w:rFonts w:ascii="Arial" w:hAnsi="Arial" w:cs="Arial"/>
        </w:rPr>
        <w:t xml:space="preserve"> concurring with the change, must be submitted to </w:t>
      </w:r>
      <w:r w:rsidR="003156C9">
        <w:rPr>
          <w:rFonts w:ascii="Arial" w:hAnsi="Arial" w:cs="Arial"/>
        </w:rPr>
        <w:t xml:space="preserve">the </w:t>
      </w:r>
      <w:proofErr w:type="spellStart"/>
      <w:r w:rsidR="003156C9">
        <w:rPr>
          <w:rFonts w:ascii="Arial" w:hAnsi="Arial" w:cs="Arial"/>
        </w:rPr>
        <w:t>CoC</w:t>
      </w:r>
      <w:proofErr w:type="spellEnd"/>
      <w:r w:rsidR="003156C9">
        <w:rPr>
          <w:rFonts w:ascii="Arial" w:hAnsi="Arial" w:cs="Arial"/>
        </w:rPr>
        <w:t xml:space="preserve"> Coordinator (coordinator@miboscoc.com)</w:t>
      </w:r>
      <w:r w:rsidR="00C93EFB" w:rsidRPr="00C93EFB">
        <w:rPr>
          <w:rFonts w:ascii="Arial" w:hAnsi="Arial" w:cs="Arial"/>
        </w:rPr>
        <w:t>.</w:t>
      </w:r>
    </w:p>
    <w:p w14:paraId="16B63EDF" w14:textId="77777777" w:rsidR="00044370" w:rsidRPr="00DE7B40" w:rsidRDefault="00044370" w:rsidP="00044370">
      <w:pPr>
        <w:spacing w:after="0"/>
        <w:rPr>
          <w:rFonts w:ascii="Arial" w:hAnsi="Arial" w:cs="Arial"/>
          <w:sz w:val="16"/>
          <w:szCs w:val="16"/>
        </w:rPr>
      </w:pPr>
    </w:p>
    <w:p w14:paraId="6896AA8E" w14:textId="77777777" w:rsidR="00590072" w:rsidRPr="00C93EFB" w:rsidRDefault="00C93EFB" w:rsidP="00C93EFB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C93EFB">
        <w:rPr>
          <w:rFonts w:ascii="Arial" w:hAnsi="Arial" w:cs="Arial"/>
          <w:b/>
        </w:rPr>
        <w:t>Grant extensions are not allowable.</w:t>
      </w:r>
    </w:p>
    <w:sectPr w:rsidR="00590072" w:rsidRPr="00C93E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07EF" w14:textId="77777777" w:rsidR="004C63F5" w:rsidRDefault="004C63F5" w:rsidP="00590072">
      <w:pPr>
        <w:spacing w:after="0" w:line="240" w:lineRule="auto"/>
      </w:pPr>
      <w:r>
        <w:separator/>
      </w:r>
    </w:p>
  </w:endnote>
  <w:endnote w:type="continuationSeparator" w:id="0">
    <w:p w14:paraId="7BC5A42A" w14:textId="77777777" w:rsidR="004C63F5" w:rsidRDefault="004C63F5" w:rsidP="005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B6C5" w14:textId="77777777" w:rsidR="00590072" w:rsidRPr="00590072" w:rsidRDefault="00C93EF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4/23/18</w:t>
    </w:r>
  </w:p>
  <w:p w14:paraId="76EEA916" w14:textId="77777777" w:rsidR="00590072" w:rsidRDefault="0059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F69B" w14:textId="77777777" w:rsidR="004C63F5" w:rsidRDefault="004C63F5" w:rsidP="00590072">
      <w:pPr>
        <w:spacing w:after="0" w:line="240" w:lineRule="auto"/>
      </w:pPr>
      <w:r>
        <w:separator/>
      </w:r>
    </w:p>
  </w:footnote>
  <w:footnote w:type="continuationSeparator" w:id="0">
    <w:p w14:paraId="0BCC7A9E" w14:textId="77777777" w:rsidR="004C63F5" w:rsidRDefault="004C63F5" w:rsidP="0059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10AE" w14:textId="77777777" w:rsidR="00163B67" w:rsidRDefault="006F399B" w:rsidP="00163B67">
    <w:pPr>
      <w:spacing w:after="0" w:line="240" w:lineRule="auto"/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14880" wp14:editId="5BA70B06">
          <wp:simplePos x="0" y="0"/>
          <wp:positionH relativeFrom="column">
            <wp:posOffset>-666750</wp:posOffset>
          </wp:positionH>
          <wp:positionV relativeFrom="paragraph">
            <wp:posOffset>152400</wp:posOffset>
          </wp:positionV>
          <wp:extent cx="2539515" cy="12668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51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BAC31" w14:textId="77777777" w:rsidR="00163B67" w:rsidRDefault="00163B67" w:rsidP="00163B67">
    <w:pPr>
      <w:spacing w:after="0" w:line="240" w:lineRule="auto"/>
      <w:jc w:val="center"/>
      <w:rPr>
        <w:rFonts w:ascii="Arial" w:hAnsi="Arial" w:cs="Arial"/>
        <w:b/>
        <w:sz w:val="32"/>
        <w:szCs w:val="32"/>
        <w:u w:val="single"/>
      </w:rPr>
    </w:pPr>
  </w:p>
  <w:p w14:paraId="7D79AA7D" w14:textId="77777777" w:rsidR="006F399B" w:rsidRPr="006F399B" w:rsidRDefault="003156C9" w:rsidP="006F399B">
    <w:pPr>
      <w:spacing w:after="0" w:line="240" w:lineRule="auto"/>
      <w:jc w:val="right"/>
      <w:rPr>
        <w:rFonts w:ascii="Arial" w:hAnsi="Arial" w:cs="Arial"/>
        <w:b/>
        <w:sz w:val="32"/>
        <w:szCs w:val="32"/>
      </w:rPr>
    </w:pPr>
    <w:r w:rsidRPr="006F399B">
      <w:rPr>
        <w:rFonts w:ascii="Arial" w:hAnsi="Arial" w:cs="Arial"/>
        <w:b/>
        <w:sz w:val="32"/>
        <w:szCs w:val="32"/>
      </w:rPr>
      <w:t xml:space="preserve">HUD </w:t>
    </w:r>
    <w:r w:rsidR="00163B67" w:rsidRPr="006F399B">
      <w:rPr>
        <w:rFonts w:ascii="Arial" w:hAnsi="Arial" w:cs="Arial"/>
        <w:b/>
        <w:sz w:val="32"/>
        <w:szCs w:val="32"/>
      </w:rPr>
      <w:t>Coordinated Entry Project – FY17</w:t>
    </w:r>
  </w:p>
  <w:p w14:paraId="3F8E83AF" w14:textId="77777777" w:rsidR="003156C9" w:rsidRPr="006F399B" w:rsidRDefault="003156C9" w:rsidP="006F399B">
    <w:pPr>
      <w:spacing w:after="0" w:line="240" w:lineRule="auto"/>
      <w:jc w:val="right"/>
      <w:rPr>
        <w:rFonts w:ascii="Arial" w:hAnsi="Arial" w:cs="Arial"/>
        <w:b/>
        <w:sz w:val="32"/>
        <w:szCs w:val="32"/>
      </w:rPr>
    </w:pPr>
    <w:r w:rsidRPr="006F399B">
      <w:rPr>
        <w:rFonts w:ascii="Arial" w:hAnsi="Arial" w:cs="Arial"/>
        <w:b/>
        <w:sz w:val="32"/>
        <w:szCs w:val="32"/>
      </w:rPr>
      <w:t>Reimbursement</w:t>
    </w:r>
    <w:r w:rsidR="00163B67" w:rsidRPr="006F399B">
      <w:rPr>
        <w:rFonts w:ascii="Arial" w:hAnsi="Arial" w:cs="Arial"/>
        <w:b/>
        <w:sz w:val="32"/>
        <w:szCs w:val="32"/>
      </w:rPr>
      <w:t xml:space="preserve"> Billing </w:t>
    </w:r>
  </w:p>
  <w:p w14:paraId="595E973B" w14:textId="77777777" w:rsidR="00163B67" w:rsidRPr="006F399B" w:rsidRDefault="00163B67" w:rsidP="006F399B">
    <w:pPr>
      <w:spacing w:after="0" w:line="240" w:lineRule="auto"/>
      <w:jc w:val="right"/>
      <w:rPr>
        <w:rFonts w:ascii="Arial" w:hAnsi="Arial" w:cs="Arial"/>
        <w:b/>
        <w:sz w:val="32"/>
        <w:szCs w:val="32"/>
      </w:rPr>
    </w:pPr>
    <w:r w:rsidRPr="006F399B">
      <w:rPr>
        <w:rFonts w:ascii="Arial" w:hAnsi="Arial" w:cs="Arial"/>
        <w:b/>
        <w:sz w:val="32"/>
        <w:szCs w:val="32"/>
      </w:rPr>
      <w:t xml:space="preserve">and Reporting </w:t>
    </w:r>
    <w:r w:rsidR="003156C9" w:rsidRPr="006F399B">
      <w:rPr>
        <w:rFonts w:ascii="Arial" w:hAnsi="Arial" w:cs="Arial"/>
        <w:b/>
        <w:sz w:val="32"/>
        <w:szCs w:val="32"/>
      </w:rPr>
      <w:t>Process</w:t>
    </w:r>
  </w:p>
  <w:p w14:paraId="1CDC974A" w14:textId="77777777" w:rsidR="00163B67" w:rsidRDefault="00163B67">
    <w:pPr>
      <w:pStyle w:val="Header"/>
    </w:pPr>
  </w:p>
  <w:p w14:paraId="55A4B817" w14:textId="77777777" w:rsidR="00163B67" w:rsidRDefault="0016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108"/>
    <w:multiLevelType w:val="hybridMultilevel"/>
    <w:tmpl w:val="AA8A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C06"/>
    <w:multiLevelType w:val="hybridMultilevel"/>
    <w:tmpl w:val="F1BE882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BD138B9"/>
    <w:multiLevelType w:val="hybridMultilevel"/>
    <w:tmpl w:val="8B82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6D8"/>
    <w:multiLevelType w:val="hybridMultilevel"/>
    <w:tmpl w:val="92B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70"/>
    <w:rsid w:val="00044370"/>
    <w:rsid w:val="000657D2"/>
    <w:rsid w:val="00163B67"/>
    <w:rsid w:val="00172BC5"/>
    <w:rsid w:val="001F25C8"/>
    <w:rsid w:val="00210156"/>
    <w:rsid w:val="0024402E"/>
    <w:rsid w:val="00277BC6"/>
    <w:rsid w:val="00307271"/>
    <w:rsid w:val="003156C9"/>
    <w:rsid w:val="00320D52"/>
    <w:rsid w:val="003C6791"/>
    <w:rsid w:val="004B43D1"/>
    <w:rsid w:val="004C63F5"/>
    <w:rsid w:val="00545009"/>
    <w:rsid w:val="00590072"/>
    <w:rsid w:val="0063068C"/>
    <w:rsid w:val="006F399B"/>
    <w:rsid w:val="007D2E23"/>
    <w:rsid w:val="00800479"/>
    <w:rsid w:val="00812E51"/>
    <w:rsid w:val="00857F39"/>
    <w:rsid w:val="008E112D"/>
    <w:rsid w:val="008F5EC2"/>
    <w:rsid w:val="00955F14"/>
    <w:rsid w:val="00A86ED7"/>
    <w:rsid w:val="00BD5B05"/>
    <w:rsid w:val="00C35173"/>
    <w:rsid w:val="00C54BDE"/>
    <w:rsid w:val="00C81DEF"/>
    <w:rsid w:val="00C93EFB"/>
    <w:rsid w:val="00CD4122"/>
    <w:rsid w:val="00DE7B40"/>
    <w:rsid w:val="00DF7BF2"/>
    <w:rsid w:val="00F37C2B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8BEA1"/>
  <w15:chartTrackingRefBased/>
  <w15:docId w15:val="{F5B3D172-7EFD-4421-A717-9D89FB7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4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40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72"/>
  </w:style>
  <w:style w:type="paragraph" w:styleId="Footer">
    <w:name w:val="footer"/>
    <w:basedOn w:val="Normal"/>
    <w:link w:val="FooterChar"/>
    <w:uiPriority w:val="99"/>
    <w:unhideWhenUsed/>
    <w:rsid w:val="0059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72"/>
  </w:style>
  <w:style w:type="paragraph" w:styleId="NoSpacing">
    <w:name w:val="No Spacing"/>
    <w:uiPriority w:val="1"/>
    <w:qFormat/>
    <w:rsid w:val="00DE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3ED6-40DA-46D5-AA1D-532795B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Michelle (MSHDA)</dc:creator>
  <cp:keywords/>
  <dc:description/>
  <cp:lastModifiedBy>Soulard, Christina (MSHDA)</cp:lastModifiedBy>
  <cp:revision>6</cp:revision>
  <dcterms:created xsi:type="dcterms:W3CDTF">2018-04-23T19:52:00Z</dcterms:created>
  <dcterms:modified xsi:type="dcterms:W3CDTF">2018-07-27T19:32:00Z</dcterms:modified>
</cp:coreProperties>
</file>