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97709" w14:textId="65723507" w:rsidR="001613B6" w:rsidRDefault="008E062D" w:rsidP="008E062D">
      <w:pPr>
        <w:tabs>
          <w:tab w:val="left" w:pos="5676"/>
        </w:tabs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14:paraId="33D61CA2" w14:textId="13AC20E5" w:rsidR="009602EB" w:rsidRDefault="009602EB" w:rsidP="00C52EED">
      <w:pPr>
        <w:spacing w:after="0" w:line="240" w:lineRule="auto"/>
        <w:rPr>
          <w:rFonts w:cs="Tahoma"/>
          <w:sz w:val="24"/>
          <w:szCs w:val="24"/>
        </w:rPr>
      </w:pPr>
    </w:p>
    <w:p w14:paraId="4D76B97F" w14:textId="5831B894" w:rsidR="003D10DF" w:rsidRDefault="003D10DF" w:rsidP="00CF25D9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The Balance of State Continuum of Care has budgeted $1,000 for each of the 61 counties within the CoC to use in their local efforts to strengthen CoC activities. </w:t>
      </w:r>
      <w:proofErr w:type="gramStart"/>
      <w:r>
        <w:rPr>
          <w:rFonts w:cs="Tahoma"/>
          <w:sz w:val="24"/>
          <w:szCs w:val="24"/>
        </w:rPr>
        <w:t>In order to</w:t>
      </w:r>
      <w:proofErr w:type="gramEnd"/>
      <w:r>
        <w:rPr>
          <w:rFonts w:cs="Tahoma"/>
          <w:sz w:val="24"/>
          <w:szCs w:val="24"/>
        </w:rPr>
        <w:t xml:space="preserve"> use these funds effectively the Local Planning Body for the county/counties must submit a proposal for the use and planned time of the expenditure. </w:t>
      </w:r>
    </w:p>
    <w:p w14:paraId="0682DB30" w14:textId="651F769C" w:rsidR="003D10DF" w:rsidRDefault="003D10DF" w:rsidP="00CF25D9">
      <w:pPr>
        <w:spacing w:after="0" w:line="240" w:lineRule="auto"/>
        <w:jc w:val="both"/>
        <w:rPr>
          <w:rFonts w:cs="Tahoma"/>
          <w:sz w:val="24"/>
          <w:szCs w:val="24"/>
        </w:rPr>
      </w:pPr>
    </w:p>
    <w:p w14:paraId="03162507" w14:textId="7BA7D6DA" w:rsidR="003D10DF" w:rsidRDefault="003D10DF" w:rsidP="00CF25D9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Funds must be expended between October 1, 2020 and September 30, 2021. Examples of what these funds can be used for are:</w:t>
      </w:r>
    </w:p>
    <w:p w14:paraId="2DE1A9C3" w14:textId="0243D607" w:rsidR="003D10DF" w:rsidRPr="003D10DF" w:rsidRDefault="003D10DF" w:rsidP="00CF25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3D10DF">
        <w:rPr>
          <w:rFonts w:cs="Tahoma"/>
          <w:sz w:val="24"/>
          <w:szCs w:val="24"/>
        </w:rPr>
        <w:t>Brochures/cards</w:t>
      </w:r>
    </w:p>
    <w:p w14:paraId="19A0324C" w14:textId="042E67E6" w:rsidR="003D10DF" w:rsidRPr="003D10DF" w:rsidRDefault="003D10DF" w:rsidP="00CF25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3D10DF">
        <w:rPr>
          <w:rFonts w:cs="Tahoma"/>
          <w:sz w:val="24"/>
          <w:szCs w:val="24"/>
        </w:rPr>
        <w:t>Staff</w:t>
      </w:r>
      <w:r w:rsidR="00454F9B">
        <w:rPr>
          <w:rFonts w:cs="Tahoma"/>
          <w:sz w:val="24"/>
          <w:szCs w:val="24"/>
        </w:rPr>
        <w:t>/persons with lived experience’s</w:t>
      </w:r>
      <w:r w:rsidRPr="003D10DF">
        <w:rPr>
          <w:rFonts w:cs="Tahoma"/>
          <w:sz w:val="24"/>
          <w:szCs w:val="24"/>
        </w:rPr>
        <w:t xml:space="preserve"> time in LPB or </w:t>
      </w:r>
      <w:proofErr w:type="spellStart"/>
      <w:r w:rsidRPr="003D10DF">
        <w:rPr>
          <w:rFonts w:cs="Tahoma"/>
          <w:sz w:val="24"/>
          <w:szCs w:val="24"/>
        </w:rPr>
        <w:t>BoS</w:t>
      </w:r>
      <w:proofErr w:type="spellEnd"/>
      <w:r w:rsidRPr="003D10DF">
        <w:rPr>
          <w:rFonts w:cs="Tahoma"/>
          <w:sz w:val="24"/>
          <w:szCs w:val="24"/>
        </w:rPr>
        <w:t xml:space="preserve"> meetings</w:t>
      </w:r>
    </w:p>
    <w:p w14:paraId="7CE1F91D" w14:textId="3E55F16A" w:rsidR="003D10DF" w:rsidRPr="003D10DF" w:rsidRDefault="003D10DF" w:rsidP="00CF25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3D10DF">
        <w:rPr>
          <w:rFonts w:cs="Tahoma"/>
          <w:sz w:val="24"/>
          <w:szCs w:val="24"/>
        </w:rPr>
        <w:t>Staf</w:t>
      </w:r>
      <w:r w:rsidR="00454F9B">
        <w:rPr>
          <w:rFonts w:cs="Tahoma"/>
          <w:sz w:val="24"/>
          <w:szCs w:val="24"/>
        </w:rPr>
        <w:t>f/</w:t>
      </w:r>
      <w:r w:rsidR="00454F9B">
        <w:rPr>
          <w:rFonts w:cs="Tahoma"/>
          <w:sz w:val="24"/>
          <w:szCs w:val="24"/>
        </w:rPr>
        <w:t>persons with lived experience’s</w:t>
      </w:r>
      <w:r w:rsidRPr="003D10DF">
        <w:rPr>
          <w:rFonts w:cs="Tahoma"/>
          <w:sz w:val="24"/>
          <w:szCs w:val="24"/>
        </w:rPr>
        <w:t xml:space="preserve"> time for planning LPB meetings</w:t>
      </w:r>
    </w:p>
    <w:p w14:paraId="437B1D0D" w14:textId="71589D91" w:rsidR="00454F9B" w:rsidRPr="00454F9B" w:rsidRDefault="003D10DF" w:rsidP="00454F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3D10DF">
        <w:rPr>
          <w:rFonts w:cs="Tahoma"/>
          <w:sz w:val="24"/>
          <w:szCs w:val="24"/>
        </w:rPr>
        <w:t>Training for staff</w:t>
      </w:r>
    </w:p>
    <w:p w14:paraId="384361C4" w14:textId="2260848C" w:rsidR="003D10DF" w:rsidRPr="003D10DF" w:rsidRDefault="003D10DF" w:rsidP="00CF25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3D10DF">
        <w:rPr>
          <w:rFonts w:cs="Tahoma"/>
          <w:sz w:val="24"/>
          <w:szCs w:val="24"/>
        </w:rPr>
        <w:t>Zoom and other web conferencing accounts</w:t>
      </w:r>
    </w:p>
    <w:p w14:paraId="0B194167" w14:textId="77777777" w:rsidR="00CF25D9" w:rsidRDefault="003D10DF" w:rsidP="00CF25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3D10DF">
        <w:rPr>
          <w:rFonts w:cs="Tahoma"/>
          <w:sz w:val="24"/>
          <w:szCs w:val="24"/>
        </w:rPr>
        <w:t>Apps and technology to improve performanc</w:t>
      </w:r>
      <w:r w:rsidR="00CF25D9">
        <w:rPr>
          <w:rFonts w:cs="Tahoma"/>
          <w:sz w:val="24"/>
          <w:szCs w:val="24"/>
        </w:rPr>
        <w:t>e</w:t>
      </w:r>
    </w:p>
    <w:p w14:paraId="36DBE993" w14:textId="32C6AE4B" w:rsidR="003D10DF" w:rsidRPr="00CF25D9" w:rsidRDefault="003D10DF" w:rsidP="00CF25D9">
      <w:pPr>
        <w:spacing w:after="0" w:line="240" w:lineRule="auto"/>
        <w:jc w:val="both"/>
        <w:rPr>
          <w:rFonts w:cs="Tahoma"/>
          <w:sz w:val="24"/>
          <w:szCs w:val="24"/>
        </w:rPr>
      </w:pPr>
      <w:r w:rsidRPr="00CF25D9">
        <w:rPr>
          <w:rFonts w:cs="Tahoma"/>
          <w:sz w:val="24"/>
          <w:szCs w:val="24"/>
        </w:rPr>
        <w:t xml:space="preserve">If you are unsure about using the funds for a local need </w:t>
      </w:r>
      <w:proofErr w:type="gramStart"/>
      <w:r w:rsidRPr="00CF25D9">
        <w:rPr>
          <w:rFonts w:cs="Tahoma"/>
          <w:sz w:val="24"/>
          <w:szCs w:val="24"/>
        </w:rPr>
        <w:t>you’ve</w:t>
      </w:r>
      <w:proofErr w:type="gramEnd"/>
      <w:r w:rsidRPr="00CF25D9">
        <w:rPr>
          <w:rFonts w:cs="Tahoma"/>
          <w:sz w:val="24"/>
          <w:szCs w:val="24"/>
        </w:rPr>
        <w:t xml:space="preserve"> found, just ask</w:t>
      </w:r>
      <w:r w:rsidR="00CF25D9" w:rsidRPr="00CF25D9">
        <w:rPr>
          <w:rFonts w:cs="Tahoma"/>
          <w:sz w:val="24"/>
          <w:szCs w:val="24"/>
        </w:rPr>
        <w:t>!</w:t>
      </w:r>
    </w:p>
    <w:p w14:paraId="0B9E9F36" w14:textId="249EFD78" w:rsidR="003D10DF" w:rsidRDefault="003D10DF" w:rsidP="00CF25D9">
      <w:pPr>
        <w:spacing w:after="0" w:line="240" w:lineRule="auto"/>
        <w:jc w:val="both"/>
        <w:rPr>
          <w:rFonts w:cs="Tahoma"/>
          <w:sz w:val="24"/>
          <w:szCs w:val="24"/>
        </w:rPr>
      </w:pPr>
    </w:p>
    <w:p w14:paraId="026EA9D5" w14:textId="7D291F4B" w:rsidR="00CF25D9" w:rsidRDefault="00CF25D9" w:rsidP="00CF25D9">
      <w:pPr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Please complete the following with your community plans for fund use and return to </w:t>
      </w:r>
      <w:hyperlink r:id="rId7" w:history="1">
        <w:r w:rsidRPr="000267E4">
          <w:rPr>
            <w:rStyle w:val="Hyperlink"/>
            <w:rFonts w:cs="Tahoma"/>
            <w:sz w:val="24"/>
            <w:szCs w:val="24"/>
          </w:rPr>
          <w:t>coordinator@miboscoc.com</w:t>
        </w:r>
      </w:hyperlink>
      <w:r>
        <w:rPr>
          <w:rFonts w:cs="Tahoma"/>
          <w:sz w:val="24"/>
          <w:szCs w:val="24"/>
        </w:rPr>
        <w:t xml:space="preserve"> by </w:t>
      </w:r>
      <w:r w:rsidRPr="001574A1">
        <w:rPr>
          <w:rFonts w:cs="Tahoma"/>
          <w:b/>
          <w:bCs/>
          <w:sz w:val="24"/>
          <w:szCs w:val="24"/>
        </w:rPr>
        <w:t xml:space="preserve">November </w:t>
      </w:r>
      <w:r w:rsidR="001574A1" w:rsidRPr="001574A1">
        <w:rPr>
          <w:rFonts w:cs="Tahoma"/>
          <w:b/>
          <w:bCs/>
          <w:sz w:val="24"/>
          <w:szCs w:val="24"/>
        </w:rPr>
        <w:t>15</w:t>
      </w:r>
      <w:r w:rsidRPr="001574A1">
        <w:rPr>
          <w:rFonts w:cs="Tahoma"/>
          <w:b/>
          <w:bCs/>
          <w:sz w:val="24"/>
          <w:szCs w:val="24"/>
        </w:rPr>
        <w:t>, 2020</w:t>
      </w:r>
      <w:r>
        <w:rPr>
          <w:rFonts w:cs="Tahoma"/>
          <w:sz w:val="24"/>
          <w:szCs w:val="24"/>
        </w:rPr>
        <w:t xml:space="preserve"> to ensure your funds will still be available to you. Unclaimed funds will return to the </w:t>
      </w:r>
      <w:proofErr w:type="spellStart"/>
      <w:r>
        <w:rPr>
          <w:rFonts w:cs="Tahoma"/>
          <w:sz w:val="24"/>
          <w:szCs w:val="24"/>
        </w:rPr>
        <w:t>CoC’s</w:t>
      </w:r>
      <w:proofErr w:type="spellEnd"/>
      <w:r>
        <w:rPr>
          <w:rFonts w:cs="Tahoma"/>
          <w:sz w:val="24"/>
          <w:szCs w:val="24"/>
        </w:rPr>
        <w:t xml:space="preserve"> general training budget. Your stated plans are NOT binding and can be altered. If this will delay the date the cost is incurred, please communicate that to the Coordinator.</w:t>
      </w:r>
    </w:p>
    <w:p w14:paraId="1D754F08" w14:textId="38659F4D" w:rsidR="00CF25D9" w:rsidRDefault="00CF25D9" w:rsidP="00C52EED">
      <w:pPr>
        <w:spacing w:after="0" w:line="240" w:lineRule="auto"/>
        <w:rPr>
          <w:rFonts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048"/>
        <w:gridCol w:w="1350"/>
        <w:gridCol w:w="1615"/>
      </w:tblGrid>
      <w:tr w:rsidR="00CF25D9" w14:paraId="1A14F448" w14:textId="77777777" w:rsidTr="00CF25D9">
        <w:tc>
          <w:tcPr>
            <w:tcW w:w="2337" w:type="dxa"/>
          </w:tcPr>
          <w:p w14:paraId="1805BCDA" w14:textId="4D40601A" w:rsidR="00CF25D9" w:rsidRDefault="00CF25D9" w:rsidP="00C52EE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County/Counties</w:t>
            </w:r>
          </w:p>
        </w:tc>
        <w:tc>
          <w:tcPr>
            <w:tcW w:w="4048" w:type="dxa"/>
          </w:tcPr>
          <w:p w14:paraId="2F2AC38C" w14:textId="465D9448" w:rsidR="00CF25D9" w:rsidRDefault="00CF25D9" w:rsidP="00C52EE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Description of Use</w:t>
            </w:r>
          </w:p>
        </w:tc>
        <w:tc>
          <w:tcPr>
            <w:tcW w:w="1350" w:type="dxa"/>
          </w:tcPr>
          <w:p w14:paraId="169CAF39" w14:textId="586BD1B1" w:rsidR="00CF25D9" w:rsidRDefault="00CF25D9" w:rsidP="00C52EE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Amount</w:t>
            </w:r>
          </w:p>
        </w:tc>
        <w:tc>
          <w:tcPr>
            <w:tcW w:w="1615" w:type="dxa"/>
          </w:tcPr>
          <w:p w14:paraId="13FADDA0" w14:textId="5D5A8913" w:rsidR="00CF25D9" w:rsidRDefault="00CF25D9" w:rsidP="00C52EE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Date Incurred</w:t>
            </w:r>
          </w:p>
        </w:tc>
      </w:tr>
      <w:tr w:rsidR="00CF25D9" w14:paraId="5A2A1F58" w14:textId="77777777" w:rsidTr="00CF25D9">
        <w:tc>
          <w:tcPr>
            <w:tcW w:w="2337" w:type="dxa"/>
          </w:tcPr>
          <w:p w14:paraId="30EC27A1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048" w:type="dxa"/>
          </w:tcPr>
          <w:p w14:paraId="6EB90B2D" w14:textId="0CFDA5ED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EEA652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D6F8410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</w:tr>
      <w:tr w:rsidR="00CF25D9" w14:paraId="329D96F7" w14:textId="77777777" w:rsidTr="00CF25D9">
        <w:tc>
          <w:tcPr>
            <w:tcW w:w="2337" w:type="dxa"/>
          </w:tcPr>
          <w:p w14:paraId="1D016264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048" w:type="dxa"/>
          </w:tcPr>
          <w:p w14:paraId="59284DA0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36CEE9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3ACAE0B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</w:tr>
      <w:tr w:rsidR="00CF25D9" w14:paraId="73C6C6AA" w14:textId="77777777" w:rsidTr="00CF25D9">
        <w:tc>
          <w:tcPr>
            <w:tcW w:w="2337" w:type="dxa"/>
          </w:tcPr>
          <w:p w14:paraId="62B559B2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048" w:type="dxa"/>
          </w:tcPr>
          <w:p w14:paraId="623EE4F1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1E1E53E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2244061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</w:tr>
      <w:tr w:rsidR="00CF25D9" w14:paraId="3DE7C205" w14:textId="77777777" w:rsidTr="00CF25D9">
        <w:tc>
          <w:tcPr>
            <w:tcW w:w="2337" w:type="dxa"/>
          </w:tcPr>
          <w:p w14:paraId="2BC06AA9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048" w:type="dxa"/>
          </w:tcPr>
          <w:p w14:paraId="0FC89576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1A8EF6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EEB2499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</w:tr>
      <w:tr w:rsidR="00CF25D9" w14:paraId="2F0FC045" w14:textId="77777777" w:rsidTr="00CF25D9">
        <w:tc>
          <w:tcPr>
            <w:tcW w:w="2337" w:type="dxa"/>
          </w:tcPr>
          <w:p w14:paraId="7E04E0BB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048" w:type="dxa"/>
          </w:tcPr>
          <w:p w14:paraId="1C2E737A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D10C771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7C015C3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</w:tr>
      <w:tr w:rsidR="00CF25D9" w14:paraId="435167E0" w14:textId="77777777" w:rsidTr="00CF25D9">
        <w:tc>
          <w:tcPr>
            <w:tcW w:w="2337" w:type="dxa"/>
          </w:tcPr>
          <w:p w14:paraId="4838FD73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048" w:type="dxa"/>
          </w:tcPr>
          <w:p w14:paraId="4D5FEE0F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3C81A6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046B317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</w:tr>
      <w:tr w:rsidR="00CF25D9" w14:paraId="19D8174F" w14:textId="77777777" w:rsidTr="00CF25D9">
        <w:tc>
          <w:tcPr>
            <w:tcW w:w="2337" w:type="dxa"/>
          </w:tcPr>
          <w:p w14:paraId="34FAD479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048" w:type="dxa"/>
          </w:tcPr>
          <w:p w14:paraId="15B5F2C3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2EDD4A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0EC0713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</w:tr>
      <w:tr w:rsidR="00CF25D9" w14:paraId="5F3EE3BF" w14:textId="77777777" w:rsidTr="00CF25D9">
        <w:tc>
          <w:tcPr>
            <w:tcW w:w="2337" w:type="dxa"/>
          </w:tcPr>
          <w:p w14:paraId="30BE19BF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048" w:type="dxa"/>
          </w:tcPr>
          <w:p w14:paraId="07EE8E9B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E17818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5C91BDE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</w:tr>
      <w:tr w:rsidR="00CF25D9" w14:paraId="7E5BACE7" w14:textId="77777777" w:rsidTr="00CF25D9">
        <w:tc>
          <w:tcPr>
            <w:tcW w:w="2337" w:type="dxa"/>
          </w:tcPr>
          <w:p w14:paraId="250DA3E4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048" w:type="dxa"/>
          </w:tcPr>
          <w:p w14:paraId="17553560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ED6BA8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147E652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</w:tr>
      <w:tr w:rsidR="00CF25D9" w14:paraId="6C456D4D" w14:textId="77777777" w:rsidTr="00CF25D9">
        <w:tc>
          <w:tcPr>
            <w:tcW w:w="2337" w:type="dxa"/>
          </w:tcPr>
          <w:p w14:paraId="7D417C26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048" w:type="dxa"/>
          </w:tcPr>
          <w:p w14:paraId="5444BE9B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512370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FC96570" w14:textId="77777777" w:rsidR="00CF25D9" w:rsidRDefault="00CF25D9" w:rsidP="00C52EED">
            <w:pPr>
              <w:rPr>
                <w:rFonts w:cs="Tahoma"/>
                <w:sz w:val="24"/>
                <w:szCs w:val="24"/>
              </w:rPr>
            </w:pPr>
          </w:p>
        </w:tc>
      </w:tr>
    </w:tbl>
    <w:p w14:paraId="2D9D2C0F" w14:textId="77777777" w:rsidR="00CF25D9" w:rsidRDefault="00CF25D9" w:rsidP="00C52EED">
      <w:pPr>
        <w:spacing w:after="0" w:line="240" w:lineRule="auto"/>
        <w:rPr>
          <w:rFonts w:cs="Tahoma"/>
          <w:sz w:val="24"/>
          <w:szCs w:val="24"/>
        </w:rPr>
      </w:pPr>
    </w:p>
    <w:p w14:paraId="1D0A489F" w14:textId="2E90B9E1" w:rsidR="00CF25D9" w:rsidRDefault="00CF25D9" w:rsidP="00C52EED">
      <w:pPr>
        <w:spacing w:after="0" w:line="240" w:lineRule="auto"/>
        <w:rPr>
          <w:rFonts w:cs="Tahoma"/>
          <w:sz w:val="24"/>
          <w:szCs w:val="24"/>
        </w:rPr>
      </w:pPr>
    </w:p>
    <w:p w14:paraId="0137B679" w14:textId="77777777" w:rsidR="00CF25D9" w:rsidRPr="00C52EED" w:rsidRDefault="00CF25D9" w:rsidP="00C52EED">
      <w:pPr>
        <w:spacing w:after="0" w:line="240" w:lineRule="auto"/>
        <w:rPr>
          <w:rFonts w:cs="Tahoma"/>
          <w:sz w:val="24"/>
          <w:szCs w:val="24"/>
        </w:rPr>
      </w:pPr>
    </w:p>
    <w:sectPr w:rsidR="00CF25D9" w:rsidRPr="00C52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9BB3F" w14:textId="77777777" w:rsidR="006059F2" w:rsidRDefault="006059F2" w:rsidP="001613B6">
      <w:pPr>
        <w:spacing w:after="0" w:line="240" w:lineRule="auto"/>
      </w:pPr>
      <w:r>
        <w:separator/>
      </w:r>
    </w:p>
  </w:endnote>
  <w:endnote w:type="continuationSeparator" w:id="0">
    <w:p w14:paraId="160A23F9" w14:textId="77777777" w:rsidR="006059F2" w:rsidRDefault="006059F2" w:rsidP="0016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C742A" w14:textId="77777777" w:rsidR="00504091" w:rsidRDefault="00504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56FE" w14:textId="77777777" w:rsidR="00504091" w:rsidRDefault="00504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2B212" w14:textId="77777777" w:rsidR="00504091" w:rsidRDefault="00504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9FD28" w14:textId="77777777" w:rsidR="006059F2" w:rsidRDefault="006059F2" w:rsidP="001613B6">
      <w:pPr>
        <w:spacing w:after="0" w:line="240" w:lineRule="auto"/>
      </w:pPr>
      <w:r>
        <w:separator/>
      </w:r>
    </w:p>
  </w:footnote>
  <w:footnote w:type="continuationSeparator" w:id="0">
    <w:p w14:paraId="67FC94E2" w14:textId="77777777" w:rsidR="006059F2" w:rsidRDefault="006059F2" w:rsidP="0016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3BEE" w14:textId="77777777" w:rsidR="00504091" w:rsidRDefault="00504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FE8E" w14:textId="55C4D7B5" w:rsidR="001613B6" w:rsidRPr="00A240C9" w:rsidRDefault="00CE42EB" w:rsidP="00CE42EB">
    <w:pPr>
      <w:spacing w:after="0" w:line="240" w:lineRule="auto"/>
      <w:jc w:val="right"/>
      <w:rPr>
        <w:rFonts w:cs="Tahoma"/>
        <w:sz w:val="44"/>
        <w:szCs w:val="36"/>
      </w:rPr>
    </w:pPr>
    <w:r>
      <w:rPr>
        <w:rFonts w:cs="Tahoma"/>
        <w:noProof/>
        <w:sz w:val="44"/>
        <w:szCs w:val="36"/>
      </w:rPr>
      <w:drawing>
        <wp:anchor distT="0" distB="0" distL="114300" distR="114300" simplePos="0" relativeHeight="251658240" behindDoc="0" locked="0" layoutInCell="1" allowOverlap="1" wp14:anchorId="1BECBAE5" wp14:editId="39D19D00">
          <wp:simplePos x="0" y="0"/>
          <wp:positionH relativeFrom="column">
            <wp:posOffset>160020</wp:posOffset>
          </wp:positionH>
          <wp:positionV relativeFrom="paragraph">
            <wp:posOffset>0</wp:posOffset>
          </wp:positionV>
          <wp:extent cx="2042160" cy="101219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 BOS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EED">
      <w:rPr>
        <w:rFonts w:cs="Tahoma"/>
        <w:sz w:val="44"/>
        <w:szCs w:val="36"/>
      </w:rPr>
      <w:t>Balance of State Planning Grant</w:t>
    </w:r>
  </w:p>
  <w:p w14:paraId="0A8F83E7" w14:textId="4FE5052D" w:rsidR="001613B6" w:rsidRDefault="003D10DF" w:rsidP="00C65030">
    <w:pPr>
      <w:spacing w:after="0" w:line="240" w:lineRule="auto"/>
      <w:jc w:val="right"/>
      <w:rPr>
        <w:rFonts w:cs="Tahoma"/>
        <w:sz w:val="44"/>
        <w:szCs w:val="36"/>
      </w:rPr>
    </w:pPr>
    <w:r>
      <w:rPr>
        <w:rFonts w:cs="Tahoma"/>
        <w:sz w:val="44"/>
        <w:szCs w:val="36"/>
      </w:rPr>
      <w:t>FY19 System Coordination</w:t>
    </w:r>
  </w:p>
  <w:p w14:paraId="37AA446D" w14:textId="21411B38" w:rsidR="000F0E2F" w:rsidRPr="004909D0" w:rsidRDefault="00504091" w:rsidP="003D10DF">
    <w:pPr>
      <w:spacing w:after="0" w:line="240" w:lineRule="auto"/>
      <w:jc w:val="right"/>
      <w:rPr>
        <w:sz w:val="28"/>
        <w:szCs w:val="28"/>
      </w:rPr>
    </w:pPr>
    <w:r>
      <w:rPr>
        <w:rFonts w:cs="Tahoma"/>
        <w:sz w:val="44"/>
        <w:szCs w:val="36"/>
      </w:rPr>
      <w:t xml:space="preserve">LPB </w:t>
    </w:r>
    <w:r w:rsidR="003D10DF">
      <w:rPr>
        <w:rFonts w:cs="Tahoma"/>
        <w:sz w:val="44"/>
        <w:szCs w:val="36"/>
      </w:rPr>
      <w:t>Funding P</w:t>
    </w:r>
    <w:r>
      <w:rPr>
        <w:rFonts w:cs="Tahoma"/>
        <w:sz w:val="44"/>
        <w:szCs w:val="36"/>
      </w:rPr>
      <w:t>lanning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DACFB" w14:textId="77777777" w:rsidR="00504091" w:rsidRDefault="00504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5F13"/>
    <w:multiLevelType w:val="hybridMultilevel"/>
    <w:tmpl w:val="BF82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65E7"/>
    <w:multiLevelType w:val="hybridMultilevel"/>
    <w:tmpl w:val="4A9A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8003B"/>
    <w:multiLevelType w:val="hybridMultilevel"/>
    <w:tmpl w:val="ECC617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181D2B"/>
    <w:multiLevelType w:val="hybridMultilevel"/>
    <w:tmpl w:val="03925E64"/>
    <w:lvl w:ilvl="0" w:tplc="9BB61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4B"/>
    <w:rsid w:val="00024FBF"/>
    <w:rsid w:val="000265F7"/>
    <w:rsid w:val="00034A67"/>
    <w:rsid w:val="00050F78"/>
    <w:rsid w:val="00052267"/>
    <w:rsid w:val="000802AA"/>
    <w:rsid w:val="0008105B"/>
    <w:rsid w:val="0008722C"/>
    <w:rsid w:val="0009341D"/>
    <w:rsid w:val="000B1112"/>
    <w:rsid w:val="000B4C1B"/>
    <w:rsid w:val="000C0C5A"/>
    <w:rsid w:val="000D2022"/>
    <w:rsid w:val="000D7720"/>
    <w:rsid w:val="000E1A37"/>
    <w:rsid w:val="000E30EA"/>
    <w:rsid w:val="000F0E2F"/>
    <w:rsid w:val="001242E6"/>
    <w:rsid w:val="001574A1"/>
    <w:rsid w:val="001613B6"/>
    <w:rsid w:val="00170AE6"/>
    <w:rsid w:val="00171E36"/>
    <w:rsid w:val="00174F5E"/>
    <w:rsid w:val="00184FD2"/>
    <w:rsid w:val="00196680"/>
    <w:rsid w:val="001B2A57"/>
    <w:rsid w:val="001E3423"/>
    <w:rsid w:val="001E40B2"/>
    <w:rsid w:val="001E7161"/>
    <w:rsid w:val="001F38AD"/>
    <w:rsid w:val="00204B52"/>
    <w:rsid w:val="00211773"/>
    <w:rsid w:val="002266AF"/>
    <w:rsid w:val="002500DD"/>
    <w:rsid w:val="00255DBA"/>
    <w:rsid w:val="0027008C"/>
    <w:rsid w:val="00283F7D"/>
    <w:rsid w:val="002B2843"/>
    <w:rsid w:val="002C0744"/>
    <w:rsid w:val="002D6A44"/>
    <w:rsid w:val="002D7F75"/>
    <w:rsid w:val="002F225E"/>
    <w:rsid w:val="002F499E"/>
    <w:rsid w:val="0030264B"/>
    <w:rsid w:val="0032085B"/>
    <w:rsid w:val="003236E1"/>
    <w:rsid w:val="00346834"/>
    <w:rsid w:val="00351D9D"/>
    <w:rsid w:val="00360E02"/>
    <w:rsid w:val="00362C5C"/>
    <w:rsid w:val="00364579"/>
    <w:rsid w:val="003648DF"/>
    <w:rsid w:val="00392C80"/>
    <w:rsid w:val="0039560F"/>
    <w:rsid w:val="003A3312"/>
    <w:rsid w:val="003A4F86"/>
    <w:rsid w:val="003A7DEC"/>
    <w:rsid w:val="003C04E5"/>
    <w:rsid w:val="003C254A"/>
    <w:rsid w:val="003D10DF"/>
    <w:rsid w:val="003F4F4D"/>
    <w:rsid w:val="0040262B"/>
    <w:rsid w:val="0042646C"/>
    <w:rsid w:val="00426D7D"/>
    <w:rsid w:val="00433FF9"/>
    <w:rsid w:val="004413DC"/>
    <w:rsid w:val="00446F63"/>
    <w:rsid w:val="00454F9B"/>
    <w:rsid w:val="00466E3C"/>
    <w:rsid w:val="004765D2"/>
    <w:rsid w:val="00476F3C"/>
    <w:rsid w:val="00486F05"/>
    <w:rsid w:val="004909D0"/>
    <w:rsid w:val="004E10DA"/>
    <w:rsid w:val="00504091"/>
    <w:rsid w:val="005075EC"/>
    <w:rsid w:val="0051140A"/>
    <w:rsid w:val="005526EC"/>
    <w:rsid w:val="00587432"/>
    <w:rsid w:val="005A13AE"/>
    <w:rsid w:val="005A28EC"/>
    <w:rsid w:val="005B3CDE"/>
    <w:rsid w:val="005C01F5"/>
    <w:rsid w:val="005C4F40"/>
    <w:rsid w:val="005E2CBD"/>
    <w:rsid w:val="0060365B"/>
    <w:rsid w:val="006059F2"/>
    <w:rsid w:val="00695D0A"/>
    <w:rsid w:val="006B1BDC"/>
    <w:rsid w:val="006B63BB"/>
    <w:rsid w:val="006E24B3"/>
    <w:rsid w:val="006F051D"/>
    <w:rsid w:val="006F2483"/>
    <w:rsid w:val="006F4309"/>
    <w:rsid w:val="007063C9"/>
    <w:rsid w:val="0071196D"/>
    <w:rsid w:val="00717CBC"/>
    <w:rsid w:val="00720833"/>
    <w:rsid w:val="0073188F"/>
    <w:rsid w:val="00737DF2"/>
    <w:rsid w:val="007504BE"/>
    <w:rsid w:val="0075184B"/>
    <w:rsid w:val="00770EEA"/>
    <w:rsid w:val="00770FC0"/>
    <w:rsid w:val="007A30B0"/>
    <w:rsid w:val="007A5E12"/>
    <w:rsid w:val="007A6D5B"/>
    <w:rsid w:val="007B1878"/>
    <w:rsid w:val="007B4499"/>
    <w:rsid w:val="007B5393"/>
    <w:rsid w:val="007E329C"/>
    <w:rsid w:val="00800F23"/>
    <w:rsid w:val="00804739"/>
    <w:rsid w:val="00805FE6"/>
    <w:rsid w:val="00810FA2"/>
    <w:rsid w:val="008135B9"/>
    <w:rsid w:val="00816F4A"/>
    <w:rsid w:val="00822298"/>
    <w:rsid w:val="00832C29"/>
    <w:rsid w:val="0085332E"/>
    <w:rsid w:val="00861278"/>
    <w:rsid w:val="008707EA"/>
    <w:rsid w:val="00870A2B"/>
    <w:rsid w:val="0089306B"/>
    <w:rsid w:val="008E062D"/>
    <w:rsid w:val="008F4B83"/>
    <w:rsid w:val="009056C3"/>
    <w:rsid w:val="00905D39"/>
    <w:rsid w:val="00921CFF"/>
    <w:rsid w:val="009379D1"/>
    <w:rsid w:val="00956DB9"/>
    <w:rsid w:val="00960202"/>
    <w:rsid w:val="009602EB"/>
    <w:rsid w:val="009636BF"/>
    <w:rsid w:val="00964877"/>
    <w:rsid w:val="00967E0C"/>
    <w:rsid w:val="00974269"/>
    <w:rsid w:val="009752BD"/>
    <w:rsid w:val="009755E0"/>
    <w:rsid w:val="009A7FAA"/>
    <w:rsid w:val="009B4134"/>
    <w:rsid w:val="009C379E"/>
    <w:rsid w:val="009C5411"/>
    <w:rsid w:val="009D5EBA"/>
    <w:rsid w:val="009E3070"/>
    <w:rsid w:val="00A05E2E"/>
    <w:rsid w:val="00A240C9"/>
    <w:rsid w:val="00A30542"/>
    <w:rsid w:val="00A971EC"/>
    <w:rsid w:val="00AB3274"/>
    <w:rsid w:val="00AC7820"/>
    <w:rsid w:val="00AF035C"/>
    <w:rsid w:val="00AF7E0B"/>
    <w:rsid w:val="00B12E59"/>
    <w:rsid w:val="00B178E6"/>
    <w:rsid w:val="00BB4411"/>
    <w:rsid w:val="00BB7B17"/>
    <w:rsid w:val="00BB7C45"/>
    <w:rsid w:val="00BD1B6A"/>
    <w:rsid w:val="00BE2477"/>
    <w:rsid w:val="00BE45CF"/>
    <w:rsid w:val="00BF5969"/>
    <w:rsid w:val="00C03712"/>
    <w:rsid w:val="00C23C80"/>
    <w:rsid w:val="00C35C33"/>
    <w:rsid w:val="00C47B2C"/>
    <w:rsid w:val="00C52EED"/>
    <w:rsid w:val="00C531D5"/>
    <w:rsid w:val="00C604D0"/>
    <w:rsid w:val="00C65030"/>
    <w:rsid w:val="00C6567D"/>
    <w:rsid w:val="00C85040"/>
    <w:rsid w:val="00CA56FF"/>
    <w:rsid w:val="00CA71E7"/>
    <w:rsid w:val="00CE42EB"/>
    <w:rsid w:val="00CF25D9"/>
    <w:rsid w:val="00D02F61"/>
    <w:rsid w:val="00D30869"/>
    <w:rsid w:val="00D347AB"/>
    <w:rsid w:val="00D3690B"/>
    <w:rsid w:val="00D5569B"/>
    <w:rsid w:val="00D55F66"/>
    <w:rsid w:val="00D60B22"/>
    <w:rsid w:val="00D63345"/>
    <w:rsid w:val="00D7103F"/>
    <w:rsid w:val="00D758DD"/>
    <w:rsid w:val="00D8220A"/>
    <w:rsid w:val="00D82704"/>
    <w:rsid w:val="00DB5BCF"/>
    <w:rsid w:val="00DC7295"/>
    <w:rsid w:val="00DD6FF0"/>
    <w:rsid w:val="00DF771E"/>
    <w:rsid w:val="00E02260"/>
    <w:rsid w:val="00E15890"/>
    <w:rsid w:val="00E239BE"/>
    <w:rsid w:val="00E7359E"/>
    <w:rsid w:val="00E80151"/>
    <w:rsid w:val="00E82EAF"/>
    <w:rsid w:val="00E9441D"/>
    <w:rsid w:val="00EA0F5C"/>
    <w:rsid w:val="00EB1FBA"/>
    <w:rsid w:val="00EC6078"/>
    <w:rsid w:val="00ED1EEF"/>
    <w:rsid w:val="00ED4F08"/>
    <w:rsid w:val="00F418C1"/>
    <w:rsid w:val="00F42D01"/>
    <w:rsid w:val="00F44045"/>
    <w:rsid w:val="00F84E94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34FC4750"/>
  <w15:chartTrackingRefBased/>
  <w15:docId w15:val="{19DE8C50-8F19-4C3B-BFF1-0EAE8D0F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B6"/>
  </w:style>
  <w:style w:type="paragraph" w:styleId="Footer">
    <w:name w:val="footer"/>
    <w:basedOn w:val="Normal"/>
    <w:link w:val="FooterChar"/>
    <w:uiPriority w:val="99"/>
    <w:unhideWhenUsed/>
    <w:rsid w:val="0016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B6"/>
  </w:style>
  <w:style w:type="character" w:styleId="Hyperlink">
    <w:name w:val="Hyperlink"/>
    <w:basedOn w:val="DefaultParagraphFont"/>
    <w:uiPriority w:val="99"/>
    <w:unhideWhenUsed/>
    <w:rsid w:val="006F0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6C3"/>
    <w:rPr>
      <w:color w:val="808080"/>
      <w:shd w:val="clear" w:color="auto" w:fill="E6E6E6"/>
    </w:rPr>
  </w:style>
  <w:style w:type="character" w:customStyle="1" w:styleId="notranslate">
    <w:name w:val="notranslate"/>
    <w:basedOn w:val="DefaultParagraphFont"/>
    <w:rsid w:val="00204B52"/>
  </w:style>
  <w:style w:type="table" w:styleId="TableGrid">
    <w:name w:val="Table Grid"/>
    <w:basedOn w:val="TableNormal"/>
    <w:uiPriority w:val="39"/>
    <w:rsid w:val="00CF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ordinator@mibosco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Vail, Jessica (MSHDA)</dc:creator>
  <cp:keywords/>
  <dc:description/>
  <cp:lastModifiedBy>Vail, Jessica (MSHDA)</cp:lastModifiedBy>
  <cp:revision>5</cp:revision>
  <dcterms:created xsi:type="dcterms:W3CDTF">2020-10-08T12:23:00Z</dcterms:created>
  <dcterms:modified xsi:type="dcterms:W3CDTF">2020-10-08T15:54:00Z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VailJ1@michigan.gov</vt:lpwstr>
  </property>
  <property fmtid="{D5CDD505-2E9C-101B-9397-08002B2CF9AE}" pid="5" name="MSIP_Label_3a2fed65-62e7-46ea-af74-187e0c17143a_SetDate">
    <vt:lpwstr>2020-01-30T16:57:50.1759051Z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27f7146d-cb8d-4dfd-aa75-9a7970bbbe2b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